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8DA49" w14:textId="203F0BA1" w:rsidR="007E5DBC" w:rsidRPr="00166A20" w:rsidRDefault="00A50397" w:rsidP="00166A20">
      <w:pPr>
        <w:pStyle w:val="Heading1"/>
        <w:spacing w:before="0"/>
        <w:jc w:val="center"/>
        <w:rPr>
          <w:sz w:val="40"/>
          <w:szCs w:val="40"/>
        </w:rPr>
      </w:pPr>
      <w:r w:rsidRPr="00166A20">
        <w:rPr>
          <w:sz w:val="40"/>
          <w:szCs w:val="40"/>
        </w:rPr>
        <w:t>Demat 2.0</w:t>
      </w:r>
    </w:p>
    <w:p w14:paraId="03258590" w14:textId="7BFC479B" w:rsidR="005041DF" w:rsidRDefault="005041DF" w:rsidP="005041DF">
      <w:pPr>
        <w:pStyle w:val="Heading1"/>
        <w:jc w:val="center"/>
      </w:pPr>
      <w:r>
        <w:rPr>
          <w:color w:val="1E5945"/>
          <w:sz w:val="30"/>
        </w:rPr>
        <w:t xml:space="preserve">Investor-Focused </w:t>
      </w:r>
      <w:r w:rsidRPr="00A7743E">
        <w:rPr>
          <w:rFonts w:ascii="Aptos" w:hAnsi="Aptos"/>
          <w:color w:val="1E5945"/>
          <w:sz w:val="30"/>
        </w:rPr>
        <w:t>Depositories</w:t>
      </w:r>
      <w:r>
        <w:rPr>
          <w:color w:val="1E5945"/>
          <w:sz w:val="30"/>
        </w:rPr>
        <w:t xml:space="preserve"> Frequently Asked Questions</w:t>
      </w:r>
    </w:p>
    <w:p w14:paraId="3017D853" w14:textId="377484DC" w:rsidR="005041DF" w:rsidRDefault="005041DF" w:rsidP="005041DF">
      <w:pPr>
        <w:pStyle w:val="ListParagraph"/>
        <w:numPr>
          <w:ilvl w:val="0"/>
          <w:numId w:val="13"/>
        </w:numPr>
        <w:spacing w:before="100" w:after="20"/>
      </w:pPr>
      <w:r w:rsidRPr="000B726E">
        <w:rPr>
          <w:b/>
          <w:color w:val="16487C"/>
          <w:sz w:val="22"/>
        </w:rPr>
        <w:t>What is Demat 2.0</w:t>
      </w:r>
      <w:r w:rsidR="001A27A9">
        <w:rPr>
          <w:b/>
          <w:color w:val="16487C"/>
          <w:sz w:val="22"/>
        </w:rPr>
        <w:t xml:space="preserve"> account</w:t>
      </w:r>
      <w:r w:rsidRPr="000B726E">
        <w:rPr>
          <w:b/>
          <w:color w:val="16487C"/>
          <w:sz w:val="22"/>
        </w:rPr>
        <w:t>?</w:t>
      </w:r>
    </w:p>
    <w:p w14:paraId="1DD2B15C" w14:textId="0433096E" w:rsidR="005041DF" w:rsidRDefault="005041DF" w:rsidP="005041DF">
      <w:pPr>
        <w:pStyle w:val="ListParagraph"/>
        <w:spacing w:after="80"/>
      </w:pPr>
      <w:r w:rsidRPr="000B726E">
        <w:rPr>
          <w:color w:val="2D2D2D"/>
        </w:rPr>
        <w:t xml:space="preserve">Demat 2.0 is a new digital facility for eligible demat account holders. It is designed to support tokenized securities and digital-currency enabled </w:t>
      </w:r>
      <w:r w:rsidR="00FD18C3">
        <w:rPr>
          <w:color w:val="2D2D2D"/>
        </w:rPr>
        <w:t>settlement (for the allotment)</w:t>
      </w:r>
      <w:r w:rsidRPr="000B726E">
        <w:rPr>
          <w:color w:val="2D2D2D"/>
        </w:rPr>
        <w:t xml:space="preserve"> through a linked Demat 2.0 account and CBDC Wallet.</w:t>
      </w:r>
    </w:p>
    <w:p w14:paraId="36EADBA8" w14:textId="77777777" w:rsidR="005041DF" w:rsidRDefault="005041DF" w:rsidP="005041DF">
      <w:pPr>
        <w:pStyle w:val="ListParagraph"/>
        <w:numPr>
          <w:ilvl w:val="0"/>
          <w:numId w:val="13"/>
        </w:numPr>
        <w:spacing w:before="100" w:after="20"/>
      </w:pPr>
      <w:r w:rsidRPr="000B726E">
        <w:rPr>
          <w:b/>
          <w:color w:val="16487C"/>
          <w:sz w:val="22"/>
        </w:rPr>
        <w:t>Which securities are currently covered?</w:t>
      </w:r>
    </w:p>
    <w:p w14:paraId="6AF98F93" w14:textId="77777777" w:rsidR="005041DF" w:rsidRDefault="005041DF" w:rsidP="005041DF">
      <w:pPr>
        <w:pStyle w:val="ListParagraph"/>
        <w:spacing w:after="80"/>
      </w:pPr>
      <w:r w:rsidRPr="000B726E">
        <w:rPr>
          <w:color w:val="2D2D2D"/>
        </w:rPr>
        <w:t>The initial scope is focused on selected debt instruments, such as identified Corporate Bond ISINs. Coverage may be expanded based on regulatory and operational approvals.</w:t>
      </w:r>
    </w:p>
    <w:p w14:paraId="0305E88D" w14:textId="77777777" w:rsidR="005041DF" w:rsidRDefault="005041DF" w:rsidP="005041DF">
      <w:pPr>
        <w:pStyle w:val="ListParagraph"/>
        <w:numPr>
          <w:ilvl w:val="0"/>
          <w:numId w:val="13"/>
        </w:numPr>
        <w:spacing w:before="100" w:after="20"/>
      </w:pPr>
      <w:r w:rsidRPr="000B726E">
        <w:rPr>
          <w:b/>
          <w:color w:val="16487C"/>
          <w:sz w:val="22"/>
        </w:rPr>
        <w:t>Is Demat 2.0 a separate demat account?</w:t>
      </w:r>
    </w:p>
    <w:p w14:paraId="14B71D4D" w14:textId="514FD85E" w:rsidR="005041DF" w:rsidRDefault="005041DF" w:rsidP="005041DF">
      <w:pPr>
        <w:pStyle w:val="ListParagraph"/>
        <w:spacing w:after="80"/>
        <w:rPr>
          <w:color w:val="2D2D2D"/>
        </w:rPr>
      </w:pPr>
      <w:r w:rsidRPr="000B726E">
        <w:rPr>
          <w:color w:val="2D2D2D"/>
        </w:rPr>
        <w:t>No. Demat 2.0 is not a separate demat account. Demat 2.0 account</w:t>
      </w:r>
      <w:r w:rsidR="00781AE8">
        <w:rPr>
          <w:color w:val="2D2D2D"/>
        </w:rPr>
        <w:t xml:space="preserve"> is extension of investor existing demat account</w:t>
      </w:r>
      <w:r w:rsidRPr="000B726E">
        <w:rPr>
          <w:color w:val="2D2D2D"/>
        </w:rPr>
        <w:t>.</w:t>
      </w:r>
    </w:p>
    <w:p w14:paraId="62763D71" w14:textId="05A13D9C" w:rsidR="002E13F0" w:rsidRDefault="00C10BA6" w:rsidP="002E13F0">
      <w:pPr>
        <w:pStyle w:val="ListParagraph"/>
        <w:numPr>
          <w:ilvl w:val="0"/>
          <w:numId w:val="13"/>
        </w:numPr>
        <w:spacing w:before="100" w:after="20"/>
      </w:pPr>
      <w:r>
        <w:rPr>
          <w:b/>
          <w:color w:val="16487C"/>
          <w:sz w:val="22"/>
        </w:rPr>
        <w:t>Is separate KYC required for opening Demat 2.0</w:t>
      </w:r>
      <w:r w:rsidR="002E13F0" w:rsidRPr="000B726E">
        <w:rPr>
          <w:b/>
          <w:color w:val="16487C"/>
          <w:sz w:val="22"/>
        </w:rPr>
        <w:t>?</w:t>
      </w:r>
    </w:p>
    <w:p w14:paraId="6D1FF975" w14:textId="1F4AFFD3" w:rsidR="002E13F0" w:rsidRDefault="002E13F0" w:rsidP="002E13F0">
      <w:pPr>
        <w:pStyle w:val="ListParagraph"/>
        <w:spacing w:after="80"/>
      </w:pPr>
      <w:r w:rsidRPr="000B726E">
        <w:rPr>
          <w:color w:val="2D2D2D"/>
        </w:rPr>
        <w:t xml:space="preserve">No. </w:t>
      </w:r>
      <w:r w:rsidR="007E297C">
        <w:rPr>
          <w:color w:val="2D2D2D"/>
        </w:rPr>
        <w:t>Since</w:t>
      </w:r>
      <w:r w:rsidR="00A51C34">
        <w:rPr>
          <w:color w:val="2D2D2D"/>
        </w:rPr>
        <w:t xml:space="preserve"> Demat 2.0 will be linked with the existing demat account of the </w:t>
      </w:r>
      <w:r w:rsidR="00713C95">
        <w:rPr>
          <w:color w:val="2D2D2D"/>
        </w:rPr>
        <w:t>Investor, all the KYC details available under existing demat account will become applicable for Demat 2.0.</w:t>
      </w:r>
    </w:p>
    <w:p w14:paraId="4FEBCFAB" w14:textId="77777777" w:rsidR="005041DF" w:rsidRDefault="005041DF" w:rsidP="005041DF">
      <w:pPr>
        <w:pStyle w:val="ListParagraph"/>
        <w:numPr>
          <w:ilvl w:val="0"/>
          <w:numId w:val="13"/>
        </w:numPr>
        <w:spacing w:before="100" w:after="20"/>
      </w:pPr>
      <w:r w:rsidRPr="000B726E">
        <w:rPr>
          <w:b/>
          <w:color w:val="16487C"/>
          <w:sz w:val="22"/>
        </w:rPr>
        <w:t>Who can register for Demat 2.0?</w:t>
      </w:r>
    </w:p>
    <w:p w14:paraId="248AA28C" w14:textId="32BD99B8" w:rsidR="005041DF" w:rsidRDefault="005041DF" w:rsidP="005041DF">
      <w:pPr>
        <w:pStyle w:val="ListParagraph"/>
        <w:spacing w:after="80"/>
      </w:pPr>
      <w:r w:rsidRPr="000B726E">
        <w:rPr>
          <w:color w:val="2D2D2D"/>
        </w:rPr>
        <w:t xml:space="preserve">Eligible demat account holders who are registered on </w:t>
      </w:r>
      <w:proofErr w:type="spellStart"/>
      <w:r w:rsidRPr="000B726E">
        <w:rPr>
          <w:color w:val="2D2D2D"/>
        </w:rPr>
        <w:t>easi</w:t>
      </w:r>
      <w:proofErr w:type="spellEnd"/>
      <w:r w:rsidRPr="000B726E">
        <w:rPr>
          <w:color w:val="2D2D2D"/>
        </w:rPr>
        <w:t>/easiest</w:t>
      </w:r>
      <w:r w:rsidR="00EC23F5">
        <w:rPr>
          <w:color w:val="2D2D2D"/>
        </w:rPr>
        <w:t>/SPEED-e</w:t>
      </w:r>
      <w:r w:rsidR="00A23F7B">
        <w:rPr>
          <w:color w:val="2D2D2D"/>
        </w:rPr>
        <w:t xml:space="preserve"> applications of CDSL and NSDL</w:t>
      </w:r>
      <w:r w:rsidRPr="000B726E">
        <w:rPr>
          <w:color w:val="2D2D2D"/>
        </w:rPr>
        <w:t xml:space="preserve"> and meet the applicable conditions can register. Certain categories, such as CM logins, may not be eligible as per the defined system rules.</w:t>
      </w:r>
    </w:p>
    <w:p w14:paraId="758A9D03" w14:textId="77777777" w:rsidR="005041DF" w:rsidRDefault="005041DF" w:rsidP="005041DF">
      <w:pPr>
        <w:pStyle w:val="ListParagraph"/>
        <w:numPr>
          <w:ilvl w:val="0"/>
          <w:numId w:val="13"/>
        </w:numPr>
        <w:spacing w:before="100" w:after="20"/>
      </w:pPr>
      <w:r w:rsidRPr="000B726E">
        <w:rPr>
          <w:b/>
          <w:color w:val="16487C"/>
          <w:sz w:val="22"/>
        </w:rPr>
        <w:t>How can I register for Demat 2.0?</w:t>
      </w:r>
    </w:p>
    <w:p w14:paraId="61B67938" w14:textId="3D37DCB8" w:rsidR="005041DF" w:rsidRDefault="006D3250" w:rsidP="005041DF">
      <w:pPr>
        <w:pStyle w:val="ListParagraph"/>
        <w:spacing w:after="80"/>
      </w:pPr>
      <w:r>
        <w:rPr>
          <w:color w:val="2D2D2D"/>
        </w:rPr>
        <w:t>Investors</w:t>
      </w:r>
      <w:r w:rsidR="005041DF" w:rsidRPr="000B726E">
        <w:rPr>
          <w:color w:val="2D2D2D"/>
        </w:rPr>
        <w:t xml:space="preserve"> can log in to </w:t>
      </w:r>
      <w:r w:rsidR="00C424EF">
        <w:rPr>
          <w:color w:val="2D2D2D"/>
        </w:rPr>
        <w:t xml:space="preserve">respective </w:t>
      </w:r>
      <w:r w:rsidR="00D73D97">
        <w:rPr>
          <w:color w:val="2D2D2D"/>
        </w:rPr>
        <w:t xml:space="preserve">portals of Depositories and </w:t>
      </w:r>
      <w:r w:rsidR="005041DF" w:rsidRPr="000B726E">
        <w:rPr>
          <w:color w:val="2D2D2D"/>
        </w:rPr>
        <w:t>choose the Demat 2.0 menu, select Demat 2.0 account registration, enter the required details, verify the CBDC Wallet and submit the request for D</w:t>
      </w:r>
      <w:r w:rsidR="0057486B">
        <w:rPr>
          <w:color w:val="2D2D2D"/>
        </w:rPr>
        <w:t xml:space="preserve">epository </w:t>
      </w:r>
      <w:r w:rsidR="005041DF" w:rsidRPr="000B726E">
        <w:rPr>
          <w:color w:val="2D2D2D"/>
        </w:rPr>
        <w:t>P</w:t>
      </w:r>
      <w:r w:rsidR="0057486B">
        <w:rPr>
          <w:color w:val="2D2D2D"/>
        </w:rPr>
        <w:t>articipant</w:t>
      </w:r>
      <w:r w:rsidR="00797A55">
        <w:rPr>
          <w:color w:val="2D2D2D"/>
        </w:rPr>
        <w:t xml:space="preserve"> </w:t>
      </w:r>
      <w:r w:rsidR="0057486B">
        <w:rPr>
          <w:color w:val="2D2D2D"/>
        </w:rPr>
        <w:t>(DP)</w:t>
      </w:r>
      <w:r w:rsidR="005041DF" w:rsidRPr="000B726E">
        <w:rPr>
          <w:color w:val="2D2D2D"/>
        </w:rPr>
        <w:t xml:space="preserve"> approval.</w:t>
      </w:r>
    </w:p>
    <w:p w14:paraId="3055405F" w14:textId="77777777" w:rsidR="005041DF" w:rsidRDefault="005041DF" w:rsidP="005041DF">
      <w:pPr>
        <w:pStyle w:val="ListParagraph"/>
        <w:numPr>
          <w:ilvl w:val="0"/>
          <w:numId w:val="13"/>
        </w:numPr>
        <w:spacing w:before="100" w:after="20"/>
      </w:pPr>
      <w:r w:rsidRPr="000B726E">
        <w:rPr>
          <w:b/>
          <w:color w:val="16487C"/>
          <w:sz w:val="22"/>
        </w:rPr>
        <w:t>What details are required during registration?</w:t>
      </w:r>
    </w:p>
    <w:p w14:paraId="51934CFC" w14:textId="08066CAA" w:rsidR="005041DF" w:rsidRDefault="006D3250" w:rsidP="005041DF">
      <w:pPr>
        <w:pStyle w:val="ListParagraph"/>
        <w:spacing w:after="80"/>
      </w:pPr>
      <w:r>
        <w:rPr>
          <w:color w:val="2D2D2D"/>
        </w:rPr>
        <w:t xml:space="preserve">Investors </w:t>
      </w:r>
      <w:r w:rsidR="005041DF" w:rsidRPr="000B726E">
        <w:rPr>
          <w:color w:val="2D2D2D"/>
        </w:rPr>
        <w:t>need to select the eligible demat account, enter the CBDC Wallet ID, select the CBDC wallet bank and provide the required consent</w:t>
      </w:r>
      <w:r>
        <w:rPr>
          <w:color w:val="2D2D2D"/>
        </w:rPr>
        <w:t>s</w:t>
      </w:r>
      <w:r w:rsidR="005041DF" w:rsidRPr="000B726E">
        <w:rPr>
          <w:color w:val="2D2D2D"/>
        </w:rPr>
        <w:t>.</w:t>
      </w:r>
    </w:p>
    <w:p w14:paraId="1AFD3C89" w14:textId="77777777" w:rsidR="005041DF" w:rsidRDefault="005041DF" w:rsidP="005041DF">
      <w:pPr>
        <w:pStyle w:val="ListParagraph"/>
        <w:numPr>
          <w:ilvl w:val="0"/>
          <w:numId w:val="13"/>
        </w:numPr>
        <w:spacing w:before="100" w:after="20"/>
      </w:pPr>
      <w:r w:rsidRPr="000B726E">
        <w:rPr>
          <w:b/>
          <w:color w:val="16487C"/>
          <w:sz w:val="22"/>
        </w:rPr>
        <w:t>What checks are performed before registration?</w:t>
      </w:r>
    </w:p>
    <w:p w14:paraId="00081736" w14:textId="2595813C" w:rsidR="005041DF" w:rsidRDefault="005041DF" w:rsidP="005041DF">
      <w:pPr>
        <w:pStyle w:val="ListParagraph"/>
        <w:spacing w:after="80"/>
      </w:pPr>
      <w:r w:rsidRPr="000B726E">
        <w:rPr>
          <w:color w:val="2D2D2D"/>
        </w:rPr>
        <w:t xml:space="preserve">The system checks whether the demat account is active and not frozen. It also validates the account and </w:t>
      </w:r>
      <w:r w:rsidR="006D3250">
        <w:rPr>
          <w:color w:val="2D2D2D"/>
        </w:rPr>
        <w:t xml:space="preserve">CBDC </w:t>
      </w:r>
      <w:r w:rsidRPr="000B726E">
        <w:rPr>
          <w:color w:val="2D2D2D"/>
        </w:rPr>
        <w:t>wallet details through the applicable verification process.</w:t>
      </w:r>
    </w:p>
    <w:p w14:paraId="516F1203" w14:textId="77777777" w:rsidR="005041DF" w:rsidRDefault="005041DF" w:rsidP="005041DF">
      <w:pPr>
        <w:pStyle w:val="ListParagraph"/>
        <w:numPr>
          <w:ilvl w:val="0"/>
          <w:numId w:val="13"/>
        </w:numPr>
        <w:spacing w:before="100" w:after="20"/>
      </w:pPr>
      <w:r w:rsidRPr="000B726E">
        <w:rPr>
          <w:b/>
          <w:color w:val="16487C"/>
          <w:sz w:val="22"/>
        </w:rPr>
        <w:t>Is DP approval required?</w:t>
      </w:r>
    </w:p>
    <w:p w14:paraId="2D12DB0E" w14:textId="77777777" w:rsidR="005041DF" w:rsidRDefault="005041DF" w:rsidP="005041DF">
      <w:pPr>
        <w:pStyle w:val="ListParagraph"/>
        <w:spacing w:after="80"/>
      </w:pPr>
      <w:r w:rsidRPr="000B726E">
        <w:rPr>
          <w:color w:val="2D2D2D"/>
        </w:rPr>
        <w:t>Yes. After submission, the registration request is sent to your Depository Participant (DP) for approval.</w:t>
      </w:r>
    </w:p>
    <w:p w14:paraId="476A60A8" w14:textId="77777777" w:rsidR="005041DF" w:rsidRDefault="005041DF" w:rsidP="005041DF">
      <w:pPr>
        <w:pStyle w:val="ListParagraph"/>
        <w:numPr>
          <w:ilvl w:val="0"/>
          <w:numId w:val="13"/>
        </w:numPr>
        <w:spacing w:before="100" w:after="20"/>
      </w:pPr>
      <w:r w:rsidRPr="000B726E">
        <w:rPr>
          <w:b/>
          <w:color w:val="16487C"/>
          <w:sz w:val="22"/>
        </w:rPr>
        <w:t>What if the DP does not approve the request in time?</w:t>
      </w:r>
    </w:p>
    <w:p w14:paraId="570AEC30" w14:textId="77777777" w:rsidR="005041DF" w:rsidRDefault="005041DF" w:rsidP="005041DF">
      <w:pPr>
        <w:pStyle w:val="ListParagraph"/>
        <w:spacing w:after="80"/>
      </w:pPr>
      <w:r w:rsidRPr="000B726E">
        <w:rPr>
          <w:color w:val="2D2D2D"/>
        </w:rPr>
        <w:t>If the request is not approved within the defined period, it will be automatically cancelled. The customer will be informed through the registered communication channels.</w:t>
      </w:r>
    </w:p>
    <w:p w14:paraId="35B9345A" w14:textId="77777777" w:rsidR="005041DF" w:rsidRDefault="005041DF" w:rsidP="005041DF">
      <w:pPr>
        <w:pStyle w:val="ListParagraph"/>
        <w:numPr>
          <w:ilvl w:val="0"/>
          <w:numId w:val="13"/>
        </w:numPr>
        <w:spacing w:before="100" w:after="20"/>
      </w:pPr>
      <w:r w:rsidRPr="000B726E">
        <w:rPr>
          <w:b/>
          <w:color w:val="16487C"/>
          <w:sz w:val="22"/>
        </w:rPr>
        <w:t>Does the Demat 2.0 account hold my existing securities?</w:t>
      </w:r>
    </w:p>
    <w:p w14:paraId="1D1A3EF5" w14:textId="06AD22CC" w:rsidR="005041DF" w:rsidRDefault="005041DF" w:rsidP="005041DF">
      <w:pPr>
        <w:pStyle w:val="ListParagraph"/>
        <w:spacing w:after="80"/>
      </w:pPr>
      <w:r w:rsidRPr="000B726E">
        <w:rPr>
          <w:color w:val="2D2D2D"/>
        </w:rPr>
        <w:t xml:space="preserve">No. </w:t>
      </w:r>
      <w:r w:rsidR="00941372">
        <w:rPr>
          <w:color w:val="2D2D2D"/>
        </w:rPr>
        <w:t>Demat 2.0</w:t>
      </w:r>
      <w:r w:rsidRPr="000B726E">
        <w:rPr>
          <w:color w:val="2D2D2D"/>
        </w:rPr>
        <w:t xml:space="preserve"> is not a separate account for holding financial assets</w:t>
      </w:r>
      <w:r w:rsidR="00941372">
        <w:rPr>
          <w:color w:val="2D2D2D"/>
        </w:rPr>
        <w:t>;</w:t>
      </w:r>
      <w:r w:rsidR="00C329F9">
        <w:rPr>
          <w:color w:val="2D2D2D"/>
        </w:rPr>
        <w:t xml:space="preserve"> it’s an extension of existing demat account</w:t>
      </w:r>
      <w:r w:rsidRPr="000B726E">
        <w:rPr>
          <w:color w:val="2D2D2D"/>
        </w:rPr>
        <w:t>.</w:t>
      </w:r>
      <w:r w:rsidR="00762FB2">
        <w:rPr>
          <w:color w:val="2D2D2D"/>
        </w:rPr>
        <w:t xml:space="preserve"> Demat 2.0 framework will only be applicable for the identified ISIN marked for </w:t>
      </w:r>
      <w:proofErr w:type="spellStart"/>
      <w:r w:rsidR="00762FB2">
        <w:rPr>
          <w:color w:val="2D2D2D"/>
        </w:rPr>
        <w:t>Tokenis</w:t>
      </w:r>
      <w:r w:rsidR="00941372">
        <w:rPr>
          <w:color w:val="2D2D2D"/>
        </w:rPr>
        <w:t>ation</w:t>
      </w:r>
      <w:proofErr w:type="spellEnd"/>
      <w:r w:rsidR="00762FB2">
        <w:rPr>
          <w:color w:val="2D2D2D"/>
        </w:rPr>
        <w:t>.</w:t>
      </w:r>
    </w:p>
    <w:p w14:paraId="12EE03D0" w14:textId="77777777" w:rsidR="005041DF" w:rsidRDefault="005041DF" w:rsidP="005041DF">
      <w:pPr>
        <w:pStyle w:val="ListParagraph"/>
        <w:numPr>
          <w:ilvl w:val="0"/>
          <w:numId w:val="13"/>
        </w:numPr>
        <w:spacing w:before="100" w:after="20"/>
      </w:pPr>
      <w:r w:rsidRPr="000B726E">
        <w:rPr>
          <w:b/>
          <w:color w:val="16487C"/>
          <w:sz w:val="22"/>
        </w:rPr>
        <w:t>What is a CBDC Wallet?</w:t>
      </w:r>
    </w:p>
    <w:p w14:paraId="50150EFD" w14:textId="77777777" w:rsidR="005041DF" w:rsidRDefault="005041DF" w:rsidP="005041DF">
      <w:pPr>
        <w:pStyle w:val="ListParagraph"/>
        <w:spacing w:after="80"/>
      </w:pPr>
      <w:r w:rsidRPr="000B726E">
        <w:rPr>
          <w:color w:val="2D2D2D"/>
        </w:rPr>
        <w:t>A CBDC Wallet is issued by an authorized bank and is used for Central Bank Digital Currency transactions.</w:t>
      </w:r>
    </w:p>
    <w:p w14:paraId="52ECE43D" w14:textId="77777777" w:rsidR="005041DF" w:rsidRDefault="005041DF" w:rsidP="005041DF">
      <w:pPr>
        <w:pStyle w:val="ListParagraph"/>
        <w:numPr>
          <w:ilvl w:val="0"/>
          <w:numId w:val="13"/>
        </w:numPr>
        <w:spacing w:before="100" w:after="20"/>
      </w:pPr>
      <w:r w:rsidRPr="000B726E">
        <w:rPr>
          <w:b/>
          <w:color w:val="16487C"/>
          <w:sz w:val="22"/>
        </w:rPr>
        <w:t>Is linking a CBDC Wallet mandatory?</w:t>
      </w:r>
    </w:p>
    <w:p w14:paraId="64FCDA50" w14:textId="19DF7D19" w:rsidR="005041DF" w:rsidRDefault="005041DF" w:rsidP="005041DF">
      <w:pPr>
        <w:pStyle w:val="ListParagraph"/>
        <w:spacing w:after="80"/>
      </w:pPr>
      <w:r w:rsidRPr="000B726E">
        <w:rPr>
          <w:color w:val="2D2D2D"/>
        </w:rPr>
        <w:lastRenderedPageBreak/>
        <w:t xml:space="preserve">Yes. A verified CBDC Wallet is required for Demat 2.0 transactions </w:t>
      </w:r>
      <w:r w:rsidR="00757CF2">
        <w:rPr>
          <w:color w:val="2D2D2D"/>
        </w:rPr>
        <w:t>through which cash settlement (for allotment) will be performed using</w:t>
      </w:r>
      <w:r w:rsidRPr="000B726E">
        <w:rPr>
          <w:color w:val="2D2D2D"/>
        </w:rPr>
        <w:t xml:space="preserve"> digital currency.</w:t>
      </w:r>
    </w:p>
    <w:p w14:paraId="53502D51" w14:textId="77777777" w:rsidR="005041DF" w:rsidRDefault="005041DF" w:rsidP="005041DF">
      <w:pPr>
        <w:pStyle w:val="ListParagraph"/>
        <w:numPr>
          <w:ilvl w:val="0"/>
          <w:numId w:val="13"/>
        </w:numPr>
        <w:spacing w:before="100" w:after="20"/>
      </w:pPr>
      <w:r w:rsidRPr="000B726E">
        <w:rPr>
          <w:b/>
          <w:color w:val="16487C"/>
          <w:sz w:val="22"/>
        </w:rPr>
        <w:t>How can I check my registration status?</w:t>
      </w:r>
    </w:p>
    <w:p w14:paraId="45E758BD" w14:textId="64C69150" w:rsidR="005041DF" w:rsidRDefault="00757CF2" w:rsidP="005041DF">
      <w:pPr>
        <w:pStyle w:val="ListParagraph"/>
        <w:spacing w:after="80"/>
      </w:pPr>
      <w:proofErr w:type="gramStart"/>
      <w:r>
        <w:rPr>
          <w:color w:val="2D2D2D"/>
        </w:rPr>
        <w:t>Investor</w:t>
      </w:r>
      <w:proofErr w:type="gramEnd"/>
      <w:r w:rsidR="005041DF" w:rsidRPr="000B726E">
        <w:rPr>
          <w:color w:val="2D2D2D"/>
        </w:rPr>
        <w:t xml:space="preserve"> can use the Demat 2.0 inquiry option in </w:t>
      </w:r>
      <w:r w:rsidR="00643ABF">
        <w:rPr>
          <w:color w:val="2D2D2D"/>
        </w:rPr>
        <w:t xml:space="preserve">respective portals of </w:t>
      </w:r>
      <w:r w:rsidR="0008721A">
        <w:rPr>
          <w:color w:val="2D2D2D"/>
        </w:rPr>
        <w:t xml:space="preserve">depositories </w:t>
      </w:r>
      <w:r w:rsidR="0008721A" w:rsidRPr="000B726E">
        <w:rPr>
          <w:color w:val="2D2D2D"/>
        </w:rPr>
        <w:t>to</w:t>
      </w:r>
      <w:r w:rsidR="005041DF" w:rsidRPr="000B726E">
        <w:rPr>
          <w:color w:val="2D2D2D"/>
        </w:rPr>
        <w:t xml:space="preserve"> view the status of your Demat 2.0 account registration.</w:t>
      </w:r>
    </w:p>
    <w:p w14:paraId="57441C1B" w14:textId="77777777" w:rsidR="005041DF" w:rsidRDefault="005041DF" w:rsidP="005041DF">
      <w:pPr>
        <w:pStyle w:val="ListParagraph"/>
        <w:numPr>
          <w:ilvl w:val="0"/>
          <w:numId w:val="13"/>
        </w:numPr>
        <w:spacing w:before="100" w:after="20"/>
      </w:pPr>
      <w:r w:rsidRPr="000B726E">
        <w:rPr>
          <w:b/>
          <w:color w:val="16487C"/>
          <w:sz w:val="22"/>
        </w:rPr>
        <w:t>Will I receive alerts?</w:t>
      </w:r>
    </w:p>
    <w:p w14:paraId="6AF722A7" w14:textId="77777777" w:rsidR="005041DF" w:rsidRDefault="005041DF" w:rsidP="005041DF">
      <w:pPr>
        <w:pStyle w:val="ListParagraph"/>
        <w:spacing w:after="80"/>
      </w:pPr>
      <w:r w:rsidRPr="000B726E">
        <w:rPr>
          <w:color w:val="2D2D2D"/>
        </w:rPr>
        <w:t>Yes. Important updates such as registration submission, approval, rejection, wallet creation or auto-cancellation may be communicated through email and SMS on the registered details.</w:t>
      </w:r>
    </w:p>
    <w:p w14:paraId="25F9619F" w14:textId="056FE171" w:rsidR="005041DF" w:rsidRDefault="005041DF" w:rsidP="005041DF">
      <w:pPr>
        <w:pStyle w:val="ListParagraph"/>
        <w:numPr>
          <w:ilvl w:val="0"/>
          <w:numId w:val="13"/>
        </w:numPr>
        <w:spacing w:before="100" w:after="20"/>
      </w:pPr>
      <w:r w:rsidRPr="000B726E">
        <w:rPr>
          <w:b/>
          <w:color w:val="16487C"/>
          <w:sz w:val="22"/>
        </w:rPr>
        <w:t>Can I view</w:t>
      </w:r>
      <w:r w:rsidR="002274CA">
        <w:rPr>
          <w:b/>
          <w:color w:val="16487C"/>
          <w:sz w:val="22"/>
        </w:rPr>
        <w:t xml:space="preserve"> </w:t>
      </w:r>
      <w:r w:rsidR="00E01E41">
        <w:rPr>
          <w:b/>
          <w:color w:val="16487C"/>
          <w:sz w:val="22"/>
        </w:rPr>
        <w:t>holdings</w:t>
      </w:r>
      <w:r w:rsidRPr="000B726E">
        <w:rPr>
          <w:b/>
          <w:color w:val="16487C"/>
          <w:sz w:val="22"/>
        </w:rPr>
        <w:t xml:space="preserve"> and transactions</w:t>
      </w:r>
      <w:r w:rsidR="00192C47">
        <w:rPr>
          <w:b/>
          <w:color w:val="16487C"/>
          <w:sz w:val="22"/>
        </w:rPr>
        <w:t xml:space="preserve"> for </w:t>
      </w:r>
      <w:proofErr w:type="spellStart"/>
      <w:proofErr w:type="gramStart"/>
      <w:r w:rsidR="00192C47">
        <w:rPr>
          <w:b/>
          <w:color w:val="16487C"/>
          <w:sz w:val="22"/>
        </w:rPr>
        <w:t>tokenised</w:t>
      </w:r>
      <w:proofErr w:type="spellEnd"/>
      <w:proofErr w:type="gramEnd"/>
      <w:r w:rsidR="00192C47">
        <w:rPr>
          <w:b/>
          <w:color w:val="16487C"/>
          <w:sz w:val="22"/>
        </w:rPr>
        <w:t xml:space="preserve"> ISIN</w:t>
      </w:r>
      <w:r w:rsidRPr="000B726E">
        <w:rPr>
          <w:b/>
          <w:color w:val="16487C"/>
          <w:sz w:val="22"/>
        </w:rPr>
        <w:t>?</w:t>
      </w:r>
    </w:p>
    <w:p w14:paraId="6B22DB77" w14:textId="493EE922" w:rsidR="005041DF" w:rsidRDefault="005041DF" w:rsidP="005041DF">
      <w:pPr>
        <w:pStyle w:val="ListParagraph"/>
        <w:spacing w:after="80"/>
      </w:pPr>
      <w:r w:rsidRPr="000B726E">
        <w:rPr>
          <w:color w:val="2D2D2D"/>
        </w:rPr>
        <w:t xml:space="preserve">Yes. </w:t>
      </w:r>
      <w:r w:rsidR="004D746E">
        <w:rPr>
          <w:color w:val="2D2D2D"/>
        </w:rPr>
        <w:t>Investors</w:t>
      </w:r>
      <w:r w:rsidRPr="000B726E">
        <w:rPr>
          <w:color w:val="2D2D2D"/>
        </w:rPr>
        <w:t xml:space="preserve"> can view </w:t>
      </w:r>
      <w:r w:rsidR="00E01E41">
        <w:rPr>
          <w:color w:val="2D2D2D"/>
        </w:rPr>
        <w:t>holding</w:t>
      </w:r>
      <w:r w:rsidRPr="000B726E">
        <w:rPr>
          <w:color w:val="2D2D2D"/>
        </w:rPr>
        <w:t xml:space="preserve"> and transactions related to Demat 2.0 activities in </w:t>
      </w:r>
      <w:r w:rsidR="009A4F19">
        <w:rPr>
          <w:color w:val="2D2D2D"/>
        </w:rPr>
        <w:t>respective portals of depositories</w:t>
      </w:r>
      <w:r w:rsidRPr="000B726E">
        <w:rPr>
          <w:color w:val="2D2D2D"/>
        </w:rPr>
        <w:t>.</w:t>
      </w:r>
    </w:p>
    <w:p w14:paraId="5AED86F5" w14:textId="2381A426" w:rsidR="002A61A4" w:rsidRPr="002978E5" w:rsidRDefault="002A61A4" w:rsidP="005041DF">
      <w:pPr>
        <w:pStyle w:val="ListParagraph"/>
        <w:numPr>
          <w:ilvl w:val="0"/>
          <w:numId w:val="13"/>
        </w:numPr>
        <w:spacing w:before="100" w:after="20"/>
        <w:rPr>
          <w:b/>
          <w:color w:val="16487C"/>
          <w:sz w:val="22"/>
        </w:rPr>
      </w:pPr>
      <w:r w:rsidRPr="002978E5">
        <w:rPr>
          <w:b/>
          <w:color w:val="16487C"/>
          <w:sz w:val="22"/>
        </w:rPr>
        <w:t xml:space="preserve">Will </w:t>
      </w:r>
      <w:r w:rsidR="002978E5" w:rsidRPr="002978E5">
        <w:rPr>
          <w:b/>
          <w:color w:val="16487C"/>
          <w:sz w:val="22"/>
        </w:rPr>
        <w:t>I get Statement for Demat2.0 account?</w:t>
      </w:r>
    </w:p>
    <w:p w14:paraId="241711FA" w14:textId="5208BB7D" w:rsidR="002978E5" w:rsidRPr="002A61A4" w:rsidRDefault="002978E5" w:rsidP="002978E5">
      <w:pPr>
        <w:pStyle w:val="ListParagraph"/>
        <w:spacing w:before="100" w:after="20"/>
      </w:pPr>
      <w:r>
        <w:t xml:space="preserve">No. The statement will not be provided in phase 1. </w:t>
      </w:r>
      <w:r w:rsidR="00A5607B">
        <w:t xml:space="preserve">However, inquiry is made available in </w:t>
      </w:r>
      <w:proofErr w:type="gramStart"/>
      <w:r w:rsidR="00A5607B">
        <w:t>the investor</w:t>
      </w:r>
      <w:proofErr w:type="gramEnd"/>
      <w:r w:rsidR="00A5607B">
        <w:t xml:space="preserve"> login.</w:t>
      </w:r>
    </w:p>
    <w:p w14:paraId="334A41BE" w14:textId="1FFA286C" w:rsidR="005041DF" w:rsidRDefault="005041DF" w:rsidP="005041DF">
      <w:pPr>
        <w:pStyle w:val="ListParagraph"/>
        <w:numPr>
          <w:ilvl w:val="0"/>
          <w:numId w:val="13"/>
        </w:numPr>
        <w:spacing w:before="100" w:after="20"/>
      </w:pPr>
      <w:r w:rsidRPr="000B726E">
        <w:rPr>
          <w:b/>
          <w:color w:val="16487C"/>
          <w:sz w:val="22"/>
        </w:rPr>
        <w:t xml:space="preserve">What happens if </w:t>
      </w:r>
      <w:r w:rsidR="004D746E">
        <w:rPr>
          <w:b/>
          <w:color w:val="16487C"/>
          <w:sz w:val="22"/>
        </w:rPr>
        <w:t>investors</w:t>
      </w:r>
      <w:r w:rsidRPr="000B726E">
        <w:rPr>
          <w:b/>
          <w:color w:val="16487C"/>
          <w:sz w:val="22"/>
        </w:rPr>
        <w:t xml:space="preserve"> demat </w:t>
      </w:r>
      <w:r w:rsidR="004D746E" w:rsidRPr="000B726E">
        <w:rPr>
          <w:b/>
          <w:color w:val="16487C"/>
          <w:sz w:val="22"/>
        </w:rPr>
        <w:t>accounts are</w:t>
      </w:r>
      <w:r w:rsidRPr="000B726E">
        <w:rPr>
          <w:b/>
          <w:color w:val="16487C"/>
          <w:sz w:val="22"/>
        </w:rPr>
        <w:t xml:space="preserve"> frozen?</w:t>
      </w:r>
    </w:p>
    <w:p w14:paraId="42C8E3E0" w14:textId="77777777" w:rsidR="005041DF" w:rsidRDefault="005041DF" w:rsidP="005041DF">
      <w:pPr>
        <w:pStyle w:val="ListParagraph"/>
        <w:spacing w:after="80"/>
      </w:pPr>
      <w:r w:rsidRPr="000B726E">
        <w:rPr>
          <w:color w:val="2D2D2D"/>
        </w:rPr>
        <w:t>If the linked demat account is frozen, Demat 2.0 operations will be restricted as per the applicable rules. The freeze status will also affect the linked Demat 2.0 account.</w:t>
      </w:r>
    </w:p>
    <w:p w14:paraId="2FDAD7A7" w14:textId="20F95B76" w:rsidR="005041DF" w:rsidRDefault="005041DF" w:rsidP="005041DF">
      <w:pPr>
        <w:pStyle w:val="ListParagraph"/>
        <w:numPr>
          <w:ilvl w:val="0"/>
          <w:numId w:val="13"/>
        </w:numPr>
        <w:spacing w:before="100" w:after="20"/>
      </w:pPr>
      <w:r w:rsidRPr="000B726E">
        <w:rPr>
          <w:b/>
          <w:color w:val="16487C"/>
          <w:sz w:val="22"/>
        </w:rPr>
        <w:t xml:space="preserve">Can </w:t>
      </w:r>
      <w:r w:rsidR="004D746E">
        <w:rPr>
          <w:b/>
          <w:color w:val="16487C"/>
          <w:sz w:val="22"/>
        </w:rPr>
        <w:t>Investor</w:t>
      </w:r>
      <w:r w:rsidRPr="000B726E">
        <w:rPr>
          <w:b/>
          <w:color w:val="16487C"/>
          <w:sz w:val="22"/>
        </w:rPr>
        <w:t xml:space="preserve"> close </w:t>
      </w:r>
      <w:r w:rsidR="004D746E">
        <w:rPr>
          <w:b/>
          <w:color w:val="16487C"/>
          <w:sz w:val="22"/>
        </w:rPr>
        <w:t>their</w:t>
      </w:r>
      <w:r w:rsidRPr="000B726E">
        <w:rPr>
          <w:b/>
          <w:color w:val="16487C"/>
          <w:sz w:val="22"/>
        </w:rPr>
        <w:t xml:space="preserve"> demat account if a Demat 2.0 account is linked?</w:t>
      </w:r>
    </w:p>
    <w:p w14:paraId="798FDBE2" w14:textId="1690C801" w:rsidR="005041DF" w:rsidRDefault="00C77F4E" w:rsidP="005041DF">
      <w:pPr>
        <w:pStyle w:val="ListParagraph"/>
        <w:spacing w:after="80"/>
      </w:pPr>
      <w:r>
        <w:rPr>
          <w:color w:val="2D2D2D"/>
        </w:rPr>
        <w:t xml:space="preserve"> </w:t>
      </w:r>
      <w:r w:rsidR="00473896">
        <w:rPr>
          <w:color w:val="2D2D2D"/>
        </w:rPr>
        <w:t>In case demat 2.0 does not have any holding then demat account can be closed.</w:t>
      </w:r>
      <w:r w:rsidR="00911087">
        <w:rPr>
          <w:color w:val="2D2D2D"/>
        </w:rPr>
        <w:t xml:space="preserve"> In case of any holding during Proof of concept (POC) phase it cannot be closed.</w:t>
      </w:r>
    </w:p>
    <w:p w14:paraId="1EF3727A" w14:textId="118A41E9" w:rsidR="005041DF" w:rsidRDefault="005041DF" w:rsidP="005041DF">
      <w:pPr>
        <w:pStyle w:val="ListParagraph"/>
        <w:numPr>
          <w:ilvl w:val="0"/>
          <w:numId w:val="13"/>
        </w:numPr>
        <w:spacing w:before="100" w:after="20"/>
      </w:pPr>
      <w:r w:rsidRPr="000B726E">
        <w:rPr>
          <w:b/>
          <w:color w:val="16487C"/>
          <w:sz w:val="22"/>
        </w:rPr>
        <w:t xml:space="preserve">Is </w:t>
      </w:r>
      <w:r w:rsidR="00C77F4E">
        <w:rPr>
          <w:b/>
          <w:color w:val="16487C"/>
          <w:sz w:val="22"/>
        </w:rPr>
        <w:t>Investor</w:t>
      </w:r>
      <w:r w:rsidRPr="000B726E">
        <w:rPr>
          <w:b/>
          <w:color w:val="16487C"/>
          <w:sz w:val="22"/>
        </w:rPr>
        <w:t xml:space="preserve"> consent required?</w:t>
      </w:r>
    </w:p>
    <w:p w14:paraId="7C7B7215" w14:textId="77777777" w:rsidR="005041DF" w:rsidRDefault="005041DF" w:rsidP="005041DF">
      <w:pPr>
        <w:pStyle w:val="ListParagraph"/>
        <w:spacing w:after="80"/>
        <w:rPr>
          <w:color w:val="2D2D2D"/>
        </w:rPr>
      </w:pPr>
      <w:r w:rsidRPr="000B726E">
        <w:rPr>
          <w:color w:val="2D2D2D"/>
        </w:rPr>
        <w:t>Yes. Customer consent is required for creating the Demat 2.0 account, linking it with the CBDC Wallet and sharing required information with authorized entities, as applicable.</w:t>
      </w:r>
    </w:p>
    <w:p w14:paraId="0F4F1428" w14:textId="2FA93008" w:rsidR="0008721A" w:rsidRDefault="0008721A" w:rsidP="0008721A">
      <w:pPr>
        <w:pStyle w:val="ListParagraph"/>
        <w:numPr>
          <w:ilvl w:val="0"/>
          <w:numId w:val="13"/>
        </w:numPr>
        <w:spacing w:before="100" w:after="20"/>
        <w:rPr>
          <w:b/>
          <w:color w:val="16487C"/>
          <w:sz w:val="22"/>
        </w:rPr>
      </w:pPr>
      <w:r w:rsidRPr="0008721A">
        <w:rPr>
          <w:b/>
          <w:color w:val="16487C"/>
          <w:sz w:val="22"/>
        </w:rPr>
        <w:t>Will CAS contain Demat 2.0 Transactions and holdings?</w:t>
      </w:r>
    </w:p>
    <w:p w14:paraId="5E888BFB" w14:textId="6045E16B" w:rsidR="0008721A" w:rsidRDefault="0008721A" w:rsidP="0008721A">
      <w:pPr>
        <w:pStyle w:val="ListParagraph"/>
        <w:spacing w:before="100" w:after="20"/>
        <w:rPr>
          <w:color w:val="2D2D2D"/>
        </w:rPr>
      </w:pPr>
      <w:r w:rsidRPr="0008721A">
        <w:rPr>
          <w:color w:val="2D2D2D"/>
        </w:rPr>
        <w:t>No. CAS will not contain Demat 2.0 Transactions and holdings in</w:t>
      </w:r>
      <w:r>
        <w:rPr>
          <w:bCs/>
          <w:color w:val="16487C"/>
          <w:sz w:val="22"/>
        </w:rPr>
        <w:t xml:space="preserve"> </w:t>
      </w:r>
      <w:r>
        <w:rPr>
          <w:color w:val="2D2D2D"/>
        </w:rPr>
        <w:t>Proof of concept (POC) phase.</w:t>
      </w:r>
    </w:p>
    <w:p w14:paraId="2923C786" w14:textId="4F13465B" w:rsidR="005D79EA" w:rsidRDefault="00F26576" w:rsidP="005041DF">
      <w:pPr>
        <w:pStyle w:val="ListParagraph"/>
        <w:numPr>
          <w:ilvl w:val="0"/>
          <w:numId w:val="13"/>
        </w:numPr>
        <w:spacing w:before="100" w:after="20"/>
        <w:rPr>
          <w:b/>
          <w:color w:val="16487C"/>
          <w:sz w:val="22"/>
        </w:rPr>
      </w:pPr>
      <w:r w:rsidRPr="00F26576">
        <w:rPr>
          <w:b/>
          <w:color w:val="16487C"/>
          <w:sz w:val="22"/>
        </w:rPr>
        <w:t>What are the arrangements upon conclusion or discontinuation of the pilot</w:t>
      </w:r>
      <w:r w:rsidR="003D724A">
        <w:rPr>
          <w:b/>
          <w:color w:val="16487C"/>
          <w:sz w:val="22"/>
        </w:rPr>
        <w:t>?</w:t>
      </w:r>
    </w:p>
    <w:p w14:paraId="6DD8FBCD" w14:textId="4BFD9AC0" w:rsidR="00F26576" w:rsidRPr="003D5BD7" w:rsidRDefault="003D5BD7" w:rsidP="00F26576">
      <w:pPr>
        <w:pStyle w:val="ListParagraph"/>
        <w:spacing w:before="100" w:after="20"/>
        <w:rPr>
          <w:color w:val="2D2D2D"/>
        </w:rPr>
      </w:pPr>
      <w:r>
        <w:rPr>
          <w:color w:val="2D2D2D"/>
        </w:rPr>
        <w:t>The</w:t>
      </w:r>
      <w:r w:rsidRPr="003D5BD7">
        <w:rPr>
          <w:color w:val="2D2D2D"/>
        </w:rPr>
        <w:t xml:space="preserve"> user will be notified </w:t>
      </w:r>
      <w:r w:rsidR="00D11E4B">
        <w:rPr>
          <w:color w:val="2D2D2D"/>
        </w:rPr>
        <w:t>and</w:t>
      </w:r>
      <w:r w:rsidRPr="003D5BD7">
        <w:rPr>
          <w:color w:val="2D2D2D"/>
        </w:rPr>
        <w:t xml:space="preserve"> supported through the transition process, and all necessary reconciliation and validation checks will be completed before the sandbox is formally closed. In the event of failure of Sandbox Testing, the securities will be transferred from Demat 2.0 accounts to normal demat accounts</w:t>
      </w:r>
      <w:r w:rsidR="00623642">
        <w:rPr>
          <w:color w:val="2D2D2D"/>
        </w:rPr>
        <w:t>.</w:t>
      </w:r>
    </w:p>
    <w:p w14:paraId="32646954" w14:textId="77777777" w:rsidR="00ED02A9" w:rsidRPr="006775C9" w:rsidRDefault="00ED02A9" w:rsidP="00ED02A9">
      <w:pPr>
        <w:pStyle w:val="ListParagraph"/>
        <w:numPr>
          <w:ilvl w:val="0"/>
          <w:numId w:val="13"/>
        </w:numPr>
        <w:rPr>
          <w:color w:val="16487C"/>
          <w:kern w:val="2"/>
          <w:szCs w:val="20"/>
          <w:lang w:val="en-IN" w:eastAsia="en-IN"/>
          <w14:ligatures w14:val="standardContextual"/>
        </w:rPr>
      </w:pPr>
      <w:r w:rsidRPr="006775C9">
        <w:rPr>
          <w:b/>
          <w:bCs/>
          <w:color w:val="16487C"/>
          <w:sz w:val="22"/>
        </w:rPr>
        <w:t>Whether transfer and transmission of Demat 2.0 holdings are permitted during Phase I?</w:t>
      </w:r>
    </w:p>
    <w:p w14:paraId="6DB4F99B" w14:textId="06F1D775" w:rsidR="00ED02A9" w:rsidRDefault="00ED02A9">
      <w:pPr>
        <w:pStyle w:val="ListParagraph"/>
        <w:spacing w:before="100" w:after="20"/>
        <w:rPr>
          <w:kern w:val="2"/>
          <w:szCs w:val="20"/>
          <w:lang w:val="en-IN" w:eastAsia="en-IN"/>
          <w14:ligatures w14:val="standardContextual"/>
        </w:rPr>
      </w:pPr>
      <w:r w:rsidRPr="006775C9">
        <w:rPr>
          <w:color w:val="2D2D2D"/>
        </w:rPr>
        <w:t xml:space="preserve">Yes. </w:t>
      </w:r>
      <w:r w:rsidR="00D274FB" w:rsidRPr="006775C9">
        <w:rPr>
          <w:color w:val="2D2D2D"/>
        </w:rPr>
        <w:t xml:space="preserve">Operational </w:t>
      </w:r>
      <w:r w:rsidR="00AE0D57" w:rsidRPr="006775C9">
        <w:rPr>
          <w:color w:val="2D2D2D"/>
        </w:rPr>
        <w:t>assistance</w:t>
      </w:r>
      <w:r w:rsidR="00D274FB" w:rsidRPr="006775C9">
        <w:rPr>
          <w:color w:val="2D2D2D"/>
        </w:rPr>
        <w:t xml:space="preserve"> </w:t>
      </w:r>
      <w:r w:rsidR="00AE0D57" w:rsidRPr="006775C9">
        <w:rPr>
          <w:color w:val="2D2D2D"/>
        </w:rPr>
        <w:t>shall</w:t>
      </w:r>
      <w:r w:rsidR="00D274FB" w:rsidRPr="006775C9">
        <w:rPr>
          <w:color w:val="2D2D2D"/>
        </w:rPr>
        <w:t xml:space="preserve"> be provided to the investor for transfer of Demat 2.0 holdings </w:t>
      </w:r>
      <w:r w:rsidR="00DA4820" w:rsidRPr="006775C9">
        <w:rPr>
          <w:color w:val="2D2D2D"/>
        </w:rPr>
        <w:t>on</w:t>
      </w:r>
      <w:r w:rsidR="00D274FB" w:rsidRPr="006775C9">
        <w:rPr>
          <w:color w:val="2D2D2D"/>
        </w:rPr>
        <w:t xml:space="preserve"> </w:t>
      </w:r>
      <w:r w:rsidR="00D776F7" w:rsidRPr="006775C9">
        <w:rPr>
          <w:color w:val="2D2D2D"/>
        </w:rPr>
        <w:t xml:space="preserve">exceptional </w:t>
      </w:r>
      <w:r w:rsidR="00DA4820" w:rsidRPr="006775C9">
        <w:rPr>
          <w:color w:val="2D2D2D"/>
        </w:rPr>
        <w:t>basis.</w:t>
      </w:r>
    </w:p>
    <w:p w14:paraId="26D47F93" w14:textId="39721A4D" w:rsidR="005041DF" w:rsidRDefault="005041DF" w:rsidP="005041DF">
      <w:pPr>
        <w:pStyle w:val="ListParagraph"/>
        <w:numPr>
          <w:ilvl w:val="0"/>
          <w:numId w:val="13"/>
        </w:numPr>
        <w:spacing w:before="100" w:after="20"/>
      </w:pPr>
      <w:r w:rsidRPr="000B726E">
        <w:rPr>
          <w:b/>
          <w:color w:val="16487C"/>
          <w:sz w:val="22"/>
        </w:rPr>
        <w:t>Is this FAQ a legal document?</w:t>
      </w:r>
    </w:p>
    <w:p w14:paraId="047477D3" w14:textId="47D1E3D1" w:rsidR="005041DF" w:rsidRDefault="005041DF" w:rsidP="005041DF">
      <w:pPr>
        <w:pStyle w:val="ListParagraph"/>
        <w:spacing w:after="60"/>
        <w:rPr>
          <w:color w:val="2D2D2D"/>
        </w:rPr>
      </w:pPr>
      <w:r w:rsidRPr="000B726E">
        <w:rPr>
          <w:color w:val="2D2D2D"/>
        </w:rPr>
        <w:t>No. This FAQ is for customer awareness only. It should be read with the applicable terms and conditions, regulatory</w:t>
      </w:r>
      <w:r w:rsidRPr="005041DF">
        <w:rPr>
          <w:color w:val="2D2D2D"/>
        </w:rPr>
        <w:t xml:space="preserve"> </w:t>
      </w:r>
      <w:r w:rsidRPr="000B726E">
        <w:rPr>
          <w:color w:val="2D2D2D"/>
        </w:rPr>
        <w:t>guidelines, depository procedures and official communications.</w:t>
      </w:r>
      <w:r w:rsidR="00E05A19">
        <w:rPr>
          <w:color w:val="2D2D2D"/>
        </w:rPr>
        <w:t xml:space="preserve"> </w:t>
      </w:r>
    </w:p>
    <w:p w14:paraId="3CDAA346" w14:textId="77777777" w:rsidR="00E05A19" w:rsidRDefault="00E05A19" w:rsidP="005041DF">
      <w:pPr>
        <w:pStyle w:val="ListParagraph"/>
        <w:spacing w:after="60"/>
        <w:rPr>
          <w:color w:val="2D2D2D"/>
        </w:rPr>
      </w:pPr>
    </w:p>
    <w:p w14:paraId="35BC7E6D" w14:textId="77777777" w:rsidR="00E05A19" w:rsidRDefault="00E05A19" w:rsidP="005041DF">
      <w:pPr>
        <w:pStyle w:val="ListParagraph"/>
        <w:spacing w:after="60"/>
        <w:rPr>
          <w:color w:val="2D2D2D"/>
        </w:rPr>
      </w:pPr>
    </w:p>
    <w:p w14:paraId="21BA2946" w14:textId="77777777" w:rsidR="00E05A19" w:rsidRDefault="00E05A19" w:rsidP="005041DF">
      <w:pPr>
        <w:pStyle w:val="ListParagraph"/>
        <w:spacing w:after="60"/>
        <w:rPr>
          <w:color w:val="2D2D2D"/>
        </w:rPr>
      </w:pPr>
    </w:p>
    <w:p w14:paraId="66E04ECE" w14:textId="1EBB98C0" w:rsidR="00E05A19" w:rsidRPr="00E05A19" w:rsidRDefault="00E05A19" w:rsidP="00E05A19">
      <w:pPr>
        <w:pStyle w:val="ListParagraph"/>
        <w:spacing w:after="60"/>
        <w:jc w:val="center"/>
        <w:rPr>
          <w:b/>
          <w:bCs/>
        </w:rPr>
      </w:pPr>
      <w:r w:rsidRPr="00E05A19">
        <w:rPr>
          <w:b/>
          <w:bCs/>
          <w:color w:val="2D2D2D"/>
        </w:rPr>
        <w:t>*******</w:t>
      </w:r>
    </w:p>
    <w:p w14:paraId="6610610C" w14:textId="5E7AD26E" w:rsidR="007E5DBC" w:rsidRDefault="007E5DBC"/>
    <w:sectPr w:rsidR="007E5DBC" w:rsidSect="00034616">
      <w:headerReference w:type="even" r:id="rId12"/>
      <w:headerReference w:type="default" r:id="rId13"/>
      <w:footerReference w:type="even" r:id="rId14"/>
      <w:footerReference w:type="default" r:id="rId15"/>
      <w:headerReference w:type="first" r:id="rId16"/>
      <w:footerReference w:type="first" r:id="rId17"/>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7F033" w14:textId="77777777" w:rsidR="002C7221" w:rsidRDefault="002C7221">
      <w:pPr>
        <w:spacing w:after="0" w:line="240" w:lineRule="auto"/>
      </w:pPr>
      <w:r>
        <w:separator/>
      </w:r>
    </w:p>
  </w:endnote>
  <w:endnote w:type="continuationSeparator" w:id="0">
    <w:p w14:paraId="4E2EE6FC" w14:textId="77777777" w:rsidR="002C7221" w:rsidRDefault="002C7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D206" w14:textId="77777777" w:rsidR="00D01D52" w:rsidRDefault="00D01D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64F0" w14:textId="77777777" w:rsidR="00E62CBF" w:rsidRDefault="00E62CBF" w:rsidP="00E62CBF">
    <w:pPr>
      <w:ind w:left="7200" w:firstLine="720"/>
      <w:jc w:val="center"/>
      <w:rPr>
        <w:color w:val="646464"/>
        <w:sz w:val="18"/>
      </w:rPr>
    </w:pPr>
  </w:p>
  <w:p w14:paraId="32664D8B" w14:textId="59BD2B49" w:rsidR="00E62CBF" w:rsidRDefault="00E62CBF" w:rsidP="00E62CBF">
    <w:pPr>
      <w:ind w:left="7200" w:firstLine="720"/>
      <w:jc w:val="center"/>
    </w:pPr>
    <w:r>
      <w:rPr>
        <w:color w:val="646464"/>
        <w:sz w:val="18"/>
      </w:rPr>
      <w:t>Version 1.0 | 04 Aug 2026</w:t>
    </w:r>
  </w:p>
  <w:p w14:paraId="15FD1F54" w14:textId="77777777" w:rsidR="007E5DBC" w:rsidRDefault="00A50397">
    <w:pPr>
      <w:pStyle w:val="Footer"/>
      <w:jc w:val="center"/>
    </w:pPr>
    <w:r>
      <w:rPr>
        <w:color w:val="646464"/>
        <w:sz w:val="16"/>
      </w:rPr>
      <w:t>Demat 2.0 Issuer FAQ | For awareness only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51DC" w14:textId="77777777" w:rsidR="00D01D52" w:rsidRDefault="00D01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FDB93" w14:textId="77777777" w:rsidR="002C7221" w:rsidRDefault="002C7221">
      <w:pPr>
        <w:spacing w:after="0" w:line="240" w:lineRule="auto"/>
      </w:pPr>
      <w:r>
        <w:separator/>
      </w:r>
    </w:p>
  </w:footnote>
  <w:footnote w:type="continuationSeparator" w:id="0">
    <w:p w14:paraId="353168A6" w14:textId="77777777" w:rsidR="002C7221" w:rsidRDefault="002C7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74C6" w14:textId="77777777" w:rsidR="00D01D52" w:rsidRDefault="00D01D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9F69" w14:textId="2D5727BA" w:rsidR="00E62CBF" w:rsidRDefault="00E62CBF">
    <w:pPr>
      <w:pStyle w:val="Header"/>
    </w:pP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3478" w14:textId="77777777" w:rsidR="00D01D52" w:rsidRDefault="00D01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B731AF"/>
    <w:multiLevelType w:val="multilevel"/>
    <w:tmpl w:val="A870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33D0E"/>
    <w:multiLevelType w:val="multilevel"/>
    <w:tmpl w:val="FCAC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FA07A7"/>
    <w:multiLevelType w:val="hybridMultilevel"/>
    <w:tmpl w:val="3376AF3E"/>
    <w:lvl w:ilvl="0" w:tplc="53F08D78">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71C4E73"/>
    <w:multiLevelType w:val="multilevel"/>
    <w:tmpl w:val="B5947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E4661F"/>
    <w:multiLevelType w:val="multilevel"/>
    <w:tmpl w:val="DC0A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AC4F96"/>
    <w:multiLevelType w:val="multilevel"/>
    <w:tmpl w:val="C93C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F0D4A"/>
    <w:multiLevelType w:val="hybridMultilevel"/>
    <w:tmpl w:val="8A880FB4"/>
    <w:lvl w:ilvl="0" w:tplc="B1382100">
      <w:start w:val="1"/>
      <w:numFmt w:val="decimal"/>
      <w:lvlText w:val="%1."/>
      <w:lvlJc w:val="left"/>
      <w:pPr>
        <w:ind w:left="720" w:hanging="360"/>
      </w:pPr>
      <w:rPr>
        <w:b w:val="0"/>
        <w:bCs w:val="0"/>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4168706">
    <w:abstractNumId w:val="8"/>
  </w:num>
  <w:num w:numId="2" w16cid:durableId="1655839171">
    <w:abstractNumId w:val="6"/>
  </w:num>
  <w:num w:numId="3" w16cid:durableId="1378820415">
    <w:abstractNumId w:val="5"/>
  </w:num>
  <w:num w:numId="4" w16cid:durableId="1537540648">
    <w:abstractNumId w:val="4"/>
  </w:num>
  <w:num w:numId="5" w16cid:durableId="978071002">
    <w:abstractNumId w:val="7"/>
  </w:num>
  <w:num w:numId="6" w16cid:durableId="980959007">
    <w:abstractNumId w:val="3"/>
  </w:num>
  <w:num w:numId="7" w16cid:durableId="18972125">
    <w:abstractNumId w:val="2"/>
  </w:num>
  <w:num w:numId="8" w16cid:durableId="1510414659">
    <w:abstractNumId w:val="1"/>
  </w:num>
  <w:num w:numId="9" w16cid:durableId="1136024719">
    <w:abstractNumId w:val="0"/>
  </w:num>
  <w:num w:numId="10" w16cid:durableId="327830442">
    <w:abstractNumId w:val="15"/>
  </w:num>
  <w:num w:numId="11" w16cid:durableId="400564845">
    <w:abstractNumId w:val="10"/>
  </w:num>
  <w:num w:numId="12" w16cid:durableId="1869105024">
    <w:abstractNumId w:val="14"/>
  </w:num>
  <w:num w:numId="13" w16cid:durableId="205875925">
    <w:abstractNumId w:val="11"/>
  </w:num>
  <w:num w:numId="14" w16cid:durableId="205874596">
    <w:abstractNumId w:val="13"/>
  </w:num>
  <w:num w:numId="15" w16cid:durableId="1294558356">
    <w:abstractNumId w:val="9"/>
  </w:num>
  <w:num w:numId="16" w16cid:durableId="1679111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F23"/>
    <w:rsid w:val="0002243A"/>
    <w:rsid w:val="00022C5E"/>
    <w:rsid w:val="00034616"/>
    <w:rsid w:val="0006063C"/>
    <w:rsid w:val="0008721A"/>
    <w:rsid w:val="000A0B5B"/>
    <w:rsid w:val="000A7F4D"/>
    <w:rsid w:val="000B52C5"/>
    <w:rsid w:val="000C0D2E"/>
    <w:rsid w:val="000F356F"/>
    <w:rsid w:val="001252F8"/>
    <w:rsid w:val="0015074B"/>
    <w:rsid w:val="00153EC5"/>
    <w:rsid w:val="00166A20"/>
    <w:rsid w:val="00172236"/>
    <w:rsid w:val="00192C47"/>
    <w:rsid w:val="001A27A9"/>
    <w:rsid w:val="001C22A1"/>
    <w:rsid w:val="002173B7"/>
    <w:rsid w:val="002274CA"/>
    <w:rsid w:val="00237775"/>
    <w:rsid w:val="002552B5"/>
    <w:rsid w:val="0026164D"/>
    <w:rsid w:val="0029639D"/>
    <w:rsid w:val="002978E5"/>
    <w:rsid w:val="002A61A4"/>
    <w:rsid w:val="002C7221"/>
    <w:rsid w:val="002E13F0"/>
    <w:rsid w:val="002E2098"/>
    <w:rsid w:val="00311B3F"/>
    <w:rsid w:val="00326F90"/>
    <w:rsid w:val="00342546"/>
    <w:rsid w:val="00350E0D"/>
    <w:rsid w:val="0035432B"/>
    <w:rsid w:val="00383B87"/>
    <w:rsid w:val="003D5BD7"/>
    <w:rsid w:val="003D724A"/>
    <w:rsid w:val="00402FEE"/>
    <w:rsid w:val="00413B6C"/>
    <w:rsid w:val="00421BA5"/>
    <w:rsid w:val="00423DD5"/>
    <w:rsid w:val="00433DB3"/>
    <w:rsid w:val="004346F6"/>
    <w:rsid w:val="0046061D"/>
    <w:rsid w:val="00466717"/>
    <w:rsid w:val="00466C96"/>
    <w:rsid w:val="00473896"/>
    <w:rsid w:val="00485618"/>
    <w:rsid w:val="004D746E"/>
    <w:rsid w:val="004F43ED"/>
    <w:rsid w:val="004F49ED"/>
    <w:rsid w:val="005041DF"/>
    <w:rsid w:val="0057486B"/>
    <w:rsid w:val="005A441B"/>
    <w:rsid w:val="005C3C73"/>
    <w:rsid w:val="005D1778"/>
    <w:rsid w:val="005D79EA"/>
    <w:rsid w:val="005F642E"/>
    <w:rsid w:val="00623642"/>
    <w:rsid w:val="00643ABF"/>
    <w:rsid w:val="006775C9"/>
    <w:rsid w:val="006A763C"/>
    <w:rsid w:val="006B07E5"/>
    <w:rsid w:val="006B7035"/>
    <w:rsid w:val="006D2A6B"/>
    <w:rsid w:val="006D3250"/>
    <w:rsid w:val="006E5255"/>
    <w:rsid w:val="006F1F4B"/>
    <w:rsid w:val="006F7B64"/>
    <w:rsid w:val="00713C95"/>
    <w:rsid w:val="0074511A"/>
    <w:rsid w:val="00757CF2"/>
    <w:rsid w:val="00762FB2"/>
    <w:rsid w:val="007665D6"/>
    <w:rsid w:val="00781AE8"/>
    <w:rsid w:val="00797A55"/>
    <w:rsid w:val="007D5870"/>
    <w:rsid w:val="007E297C"/>
    <w:rsid w:val="007E5DBC"/>
    <w:rsid w:val="007F511A"/>
    <w:rsid w:val="00803291"/>
    <w:rsid w:val="00803A62"/>
    <w:rsid w:val="0083431D"/>
    <w:rsid w:val="00851C83"/>
    <w:rsid w:val="00870363"/>
    <w:rsid w:val="008849EC"/>
    <w:rsid w:val="008A4421"/>
    <w:rsid w:val="008F6CA0"/>
    <w:rsid w:val="00904559"/>
    <w:rsid w:val="00911087"/>
    <w:rsid w:val="00927F10"/>
    <w:rsid w:val="00941372"/>
    <w:rsid w:val="00944821"/>
    <w:rsid w:val="009907D9"/>
    <w:rsid w:val="009A4F19"/>
    <w:rsid w:val="009D6CB4"/>
    <w:rsid w:val="00A23F7B"/>
    <w:rsid w:val="00A50397"/>
    <w:rsid w:val="00A51C34"/>
    <w:rsid w:val="00A5607B"/>
    <w:rsid w:val="00A66C1E"/>
    <w:rsid w:val="00A7743E"/>
    <w:rsid w:val="00A77B41"/>
    <w:rsid w:val="00A80F9A"/>
    <w:rsid w:val="00A8258F"/>
    <w:rsid w:val="00A90E2B"/>
    <w:rsid w:val="00AA1D8D"/>
    <w:rsid w:val="00AC79E1"/>
    <w:rsid w:val="00AE0D57"/>
    <w:rsid w:val="00AE1165"/>
    <w:rsid w:val="00AE5665"/>
    <w:rsid w:val="00B14F03"/>
    <w:rsid w:val="00B44129"/>
    <w:rsid w:val="00B47730"/>
    <w:rsid w:val="00B64C3C"/>
    <w:rsid w:val="00B6592D"/>
    <w:rsid w:val="00B70F30"/>
    <w:rsid w:val="00BA117A"/>
    <w:rsid w:val="00BC3BC1"/>
    <w:rsid w:val="00BD5495"/>
    <w:rsid w:val="00BE2186"/>
    <w:rsid w:val="00BF504B"/>
    <w:rsid w:val="00C10BA6"/>
    <w:rsid w:val="00C329F9"/>
    <w:rsid w:val="00C4169F"/>
    <w:rsid w:val="00C424EF"/>
    <w:rsid w:val="00C45535"/>
    <w:rsid w:val="00C73C6C"/>
    <w:rsid w:val="00C77F4E"/>
    <w:rsid w:val="00CA4175"/>
    <w:rsid w:val="00CA59A9"/>
    <w:rsid w:val="00CB0664"/>
    <w:rsid w:val="00D01D52"/>
    <w:rsid w:val="00D1097A"/>
    <w:rsid w:val="00D11E4B"/>
    <w:rsid w:val="00D274FB"/>
    <w:rsid w:val="00D73D97"/>
    <w:rsid w:val="00D776F7"/>
    <w:rsid w:val="00D824D7"/>
    <w:rsid w:val="00DA4820"/>
    <w:rsid w:val="00DB05AA"/>
    <w:rsid w:val="00DB5CB9"/>
    <w:rsid w:val="00DC5E85"/>
    <w:rsid w:val="00DD404C"/>
    <w:rsid w:val="00E01E41"/>
    <w:rsid w:val="00E05A19"/>
    <w:rsid w:val="00E077BA"/>
    <w:rsid w:val="00E62CBF"/>
    <w:rsid w:val="00E72311"/>
    <w:rsid w:val="00EC23F5"/>
    <w:rsid w:val="00ED02A9"/>
    <w:rsid w:val="00EE6A8A"/>
    <w:rsid w:val="00EF553D"/>
    <w:rsid w:val="00F01583"/>
    <w:rsid w:val="00F20501"/>
    <w:rsid w:val="00F2627C"/>
    <w:rsid w:val="00F26576"/>
    <w:rsid w:val="00F35066"/>
    <w:rsid w:val="00FC2E53"/>
    <w:rsid w:val="00FC693F"/>
    <w:rsid w:val="00FD18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FC835A8B-A831-4DCA-9841-5B1C3EA2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487C"/>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E59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01D52"/>
    <w:pPr>
      <w:spacing w:after="0" w:line="240" w:lineRule="auto"/>
    </w:pPr>
    <w:rPr>
      <w:rFonts w:ascii="Aptos" w:eastAsia="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711651881A2E41965D4FAB1425D0B8" ma:contentTypeVersion="21" ma:contentTypeDescription="Create a new document." ma:contentTypeScope="" ma:versionID="ee2921e37830e312982ebc389c73e6a6">
  <xsd:schema xmlns:xsd="http://www.w3.org/2001/XMLSchema" xmlns:xs="http://www.w3.org/2001/XMLSchema" xmlns:p="http://schemas.microsoft.com/office/2006/metadata/properties" xmlns:ns2="6728b608-a242-416c-85c7-eca52d9701d1" xmlns:ns3="2077b67b-4be1-4887-a96a-0eb69b7368ba" targetNamespace="http://schemas.microsoft.com/office/2006/metadata/properties" ma:root="true" ma:fieldsID="1b47d863197f190ae72ae128a991b1e2" ns2:_="" ns3:_="">
    <xsd:import namespace="6728b608-a242-416c-85c7-eca52d9701d1"/>
    <xsd:import namespace="2077b67b-4be1-4887-a96a-0eb69b736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3:TaxCatchAll"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8b608-a242-416c-85c7-eca52d9701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5cdbe6b-72e4-4541-a353-e4cb15019a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77b67b-4be1-4887-a96a-0eb69b7368b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e29fe07-1ab1-4d55-a1f0-bbee07ed187c}" ma:internalName="TaxCatchAll" ma:showField="CatchAllData" ma:web="2077b67b-4be1-4887-a96a-0eb69b736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Klassify>
  <SNO>1</SNO>
  <KDate>2026-08-05 11:38:55</KDate>
  <Classification>CONFIDENTIAL</Classification>
  <Subclassification/>
  <HostName>NSDLDEPNB764</HostName>
  <Domain_User>NSDL/Prathmeshm</Domain_User>
  <IPAdd>10.110.6.155</IPAdd>
  <FilePath>https://nsdlltd-my.sharepoint.com/personal/prathmeshm_nsdl_com/Documents/Desktop/Demat_2_0_Depositories_FAQ.docx</FilePath>
  <KID>424347415641639215267351320140</KID>
  <UniqueName/>
  <Suggested/>
  <Justification/>
  <KlassifyGUID>43f24bf8-e0ff-4f0d-8de7-eab565a38ce5</KlassifyGUID>
</Klassify>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2077b67b-4be1-4887-a96a-0eb69b7368ba" xsi:nil="true"/>
    <lcf76f155ced4ddcb4097134ff3c332f xmlns="6728b608-a242-416c-85c7-eca52d9701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1775E0-96CE-457C-B2A8-4BCFF6AF444F}">
  <ds:schemaRefs>
    <ds:schemaRef ds:uri="http://schemas.microsoft.com/sharepoint/v3/contenttype/forms"/>
  </ds:schemaRefs>
</ds:datastoreItem>
</file>

<file path=customXml/itemProps2.xml><?xml version="1.0" encoding="utf-8"?>
<ds:datastoreItem xmlns:ds="http://schemas.openxmlformats.org/officeDocument/2006/customXml" ds:itemID="{98060C19-78F3-4DCB-AC21-51F598324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8b608-a242-416c-85c7-eca52d9701d1"/>
    <ds:schemaRef ds:uri="2077b67b-4be1-4887-a96a-0eb69b736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96D048-F7B3-424B-BE49-7A37524921BE}">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87E4C2C2-41FF-4BFE-B6C8-F10A0E87BEC3}">
  <ds:schemaRefs>
    <ds:schemaRef ds:uri="http://schemas.microsoft.com/office/2006/metadata/properties"/>
    <ds:schemaRef ds:uri="http://schemas.microsoft.com/office/infopath/2007/PartnerControls"/>
    <ds:schemaRef ds:uri="2077b67b-4be1-4887-a96a-0eb69b7368ba"/>
    <ds:schemaRef ds:uri="6728b608-a242-416c-85c7-eca52d9701d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 Chavan /OPS/L PAREL</dc:creator>
  <cp:keywords>CONFIDENTIAL</cp:keywords>
  <dc:description>generated by python-docx</dc:description>
  <cp:lastModifiedBy>Sandeep Chavan /OPS/L PAREL</cp:lastModifiedBy>
  <cp:revision>6</cp:revision>
  <dcterms:created xsi:type="dcterms:W3CDTF">2026-10-30T09:35:00Z</dcterms:created>
  <dcterms:modified xsi:type="dcterms:W3CDTF">2026-10-30T09:39:00Z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2094e9-1721-4c18-b6ea-cafe5e1cc32f_Enabled">
    <vt:lpwstr>true</vt:lpwstr>
  </property>
  <property fmtid="{D5CDD505-2E9C-101B-9397-08002B2CF9AE}" pid="3" name="MSIP_Label_f12094e9-1721-4c18-b6ea-cafe5e1cc32f_SetDate">
    <vt:lpwstr>2026-08-04T14:19:43Z</vt:lpwstr>
  </property>
  <property fmtid="{D5CDD505-2E9C-101B-9397-08002B2CF9AE}" pid="4" name="MSIP_Label_f12094e9-1721-4c18-b6ea-cafe5e1cc32f_Method">
    <vt:lpwstr>Standard</vt:lpwstr>
  </property>
  <property fmtid="{D5CDD505-2E9C-101B-9397-08002B2CF9AE}" pid="5" name="MSIP_Label_f12094e9-1721-4c18-b6ea-cafe5e1cc32f_Name">
    <vt:lpwstr>Internal</vt:lpwstr>
  </property>
  <property fmtid="{D5CDD505-2E9C-101B-9397-08002B2CF9AE}" pid="6" name="MSIP_Label_f12094e9-1721-4c18-b6ea-cafe5e1cc32f_SiteId">
    <vt:lpwstr>06288221-25f4-49c4-a903-121d92ba0ebd</vt:lpwstr>
  </property>
  <property fmtid="{D5CDD505-2E9C-101B-9397-08002B2CF9AE}" pid="7" name="MSIP_Label_f12094e9-1721-4c18-b6ea-cafe5e1cc32f_ActionId">
    <vt:lpwstr>5a5c8a03-aec9-4165-8eb0-fcf9851bde4f</vt:lpwstr>
  </property>
  <property fmtid="{D5CDD505-2E9C-101B-9397-08002B2CF9AE}" pid="8" name="MSIP_Label_f12094e9-1721-4c18-b6ea-cafe5e1cc32f_ContentBits">
    <vt:lpwstr>0</vt:lpwstr>
  </property>
  <property fmtid="{D5CDD505-2E9C-101B-9397-08002B2CF9AE}" pid="9" name="ContentTypeId">
    <vt:lpwstr>0x0101009D711651881A2E41965D4FAB1425D0B8</vt:lpwstr>
  </property>
  <property fmtid="{D5CDD505-2E9C-101B-9397-08002B2CF9AE}" pid="10" name="KlassifyGUID">
    <vt:lpwstr>43f24bf8-e0ff-4f0d-8de7-eab565a38ce5</vt:lpwstr>
  </property>
  <property fmtid="{D5CDD505-2E9C-101B-9397-08002B2CF9AE}" pid="11" name="Classification">
    <vt:lpwstr>CONFIDENTIAL</vt:lpwstr>
  </property>
  <property fmtid="{D5CDD505-2E9C-101B-9397-08002B2CF9AE}" pid="12" name="KID">
    <vt:lpwstr>424347415641639215267351320140</vt:lpwstr>
  </property>
  <property fmtid="{D5CDD505-2E9C-101B-9397-08002B2CF9AE}" pid="13" name="MediaServiceImageTags">
    <vt:lpwstr/>
  </property>
</Properties>
</file>