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650" w:rsidRDefault="00874650" w:rsidP="00F072E1">
      <w:pPr>
        <w:spacing w:line="276" w:lineRule="auto"/>
        <w:ind w:left="720"/>
        <w:jc w:val="center"/>
        <w:rPr>
          <w:rFonts w:ascii="Gill Sans MT" w:hAnsi="Gill Sans MT" w:cs="Times New Roman"/>
          <w:b/>
          <w:sz w:val="24"/>
          <w:szCs w:val="24"/>
        </w:rPr>
      </w:pPr>
      <w:r>
        <w:rPr>
          <w:noProof/>
          <w:lang w:val="en-US"/>
        </w:rPr>
        <w:drawing>
          <wp:inline distT="0" distB="0" distL="0" distR="0">
            <wp:extent cx="3886200" cy="457200"/>
            <wp:effectExtent l="0" t="0" r="0" b="0"/>
            <wp:docPr id="1" name="Picture 1" descr="CD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SL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86200" cy="457200"/>
                    </a:xfrm>
                    <a:prstGeom prst="rect">
                      <a:avLst/>
                    </a:prstGeom>
                    <a:noFill/>
                    <a:ln>
                      <a:noFill/>
                    </a:ln>
                  </pic:spPr>
                </pic:pic>
              </a:graphicData>
            </a:graphic>
          </wp:inline>
        </w:drawing>
      </w:r>
      <w:r>
        <w:rPr>
          <w:rFonts w:ascii="Gill Sans MT" w:hAnsi="Gill Sans MT" w:cs="Times New Roman"/>
          <w:b/>
          <w:sz w:val="24"/>
          <w:szCs w:val="24"/>
        </w:rPr>
        <w:t xml:space="preserve"> </w:t>
      </w:r>
    </w:p>
    <w:p w:rsidR="00874650" w:rsidRDefault="00874650" w:rsidP="00F072E1">
      <w:pPr>
        <w:spacing w:line="276" w:lineRule="auto"/>
        <w:ind w:left="720"/>
        <w:jc w:val="center"/>
        <w:rPr>
          <w:rFonts w:ascii="Gill Sans MT" w:hAnsi="Gill Sans MT" w:cs="Times New Roman"/>
          <w:b/>
          <w:sz w:val="24"/>
          <w:szCs w:val="24"/>
        </w:rPr>
      </w:pPr>
    </w:p>
    <w:p w:rsidR="00C84560" w:rsidRPr="00B523EE" w:rsidRDefault="00C84560" w:rsidP="00F072E1">
      <w:pPr>
        <w:spacing w:line="276" w:lineRule="auto"/>
        <w:ind w:left="720"/>
        <w:jc w:val="center"/>
        <w:rPr>
          <w:rFonts w:ascii="Gill Sans MT" w:hAnsi="Gill Sans MT" w:cs="Times New Roman"/>
          <w:b/>
          <w:sz w:val="24"/>
          <w:szCs w:val="24"/>
          <w:u w:val="single"/>
        </w:rPr>
      </w:pPr>
      <w:r w:rsidRPr="00B523EE">
        <w:rPr>
          <w:rFonts w:ascii="Gill Sans MT" w:hAnsi="Gill Sans MT" w:cs="Times New Roman"/>
          <w:b/>
          <w:sz w:val="24"/>
          <w:szCs w:val="24"/>
          <w:u w:val="single"/>
        </w:rPr>
        <w:t xml:space="preserve">CDSL </w:t>
      </w:r>
      <w:r w:rsidR="00B523EE" w:rsidRPr="00B523EE">
        <w:rPr>
          <w:rFonts w:ascii="Gill Sans MT" w:hAnsi="Gill Sans MT" w:cs="Times New Roman"/>
          <w:b/>
          <w:sz w:val="24"/>
          <w:szCs w:val="24"/>
          <w:u w:val="single"/>
        </w:rPr>
        <w:t>crosses 2.5 crore demat accounts</w:t>
      </w:r>
      <w:r w:rsidRPr="00B523EE">
        <w:rPr>
          <w:rFonts w:ascii="Gill Sans MT" w:hAnsi="Gill Sans MT" w:cs="Times New Roman"/>
          <w:b/>
          <w:sz w:val="24"/>
          <w:szCs w:val="24"/>
          <w:u w:val="single"/>
        </w:rPr>
        <w:t xml:space="preserve"> </w:t>
      </w:r>
    </w:p>
    <w:p w:rsidR="0007659C" w:rsidRPr="0007659C" w:rsidRDefault="0007659C" w:rsidP="00F072E1">
      <w:pPr>
        <w:spacing w:line="276" w:lineRule="auto"/>
        <w:ind w:firstLine="720"/>
        <w:jc w:val="both"/>
        <w:rPr>
          <w:rFonts w:ascii="Gill Sans MT" w:hAnsi="Gill Sans MT" w:cs="Times New Roman"/>
          <w:b/>
          <w:i/>
          <w:szCs w:val="24"/>
        </w:rPr>
      </w:pPr>
    </w:p>
    <w:p w:rsidR="00F072E1" w:rsidRDefault="00B523EE" w:rsidP="00F072E1">
      <w:pPr>
        <w:spacing w:line="276" w:lineRule="auto"/>
        <w:jc w:val="both"/>
        <w:rPr>
          <w:rFonts w:ascii="Gill Sans MT" w:hAnsi="Gill Sans MT" w:cs="Times New Roman"/>
          <w:sz w:val="24"/>
          <w:szCs w:val="24"/>
        </w:rPr>
      </w:pPr>
      <w:r>
        <w:rPr>
          <w:rFonts w:ascii="Gill Sans MT" w:hAnsi="Gill Sans MT" w:cs="Times New Roman"/>
          <w:b/>
          <w:sz w:val="24"/>
          <w:szCs w:val="24"/>
        </w:rPr>
        <w:t>Mumbai</w:t>
      </w:r>
      <w:r w:rsidR="00874650">
        <w:rPr>
          <w:rFonts w:ascii="Gill Sans MT" w:hAnsi="Gill Sans MT" w:cs="Times New Roman"/>
          <w:b/>
          <w:sz w:val="24"/>
          <w:szCs w:val="24"/>
        </w:rPr>
        <w:t xml:space="preserve">, </w:t>
      </w:r>
      <w:r>
        <w:rPr>
          <w:rFonts w:ascii="Gill Sans MT" w:hAnsi="Gill Sans MT" w:cs="Times New Roman"/>
          <w:b/>
          <w:sz w:val="24"/>
          <w:szCs w:val="24"/>
        </w:rPr>
        <w:t xml:space="preserve">September </w:t>
      </w:r>
      <w:r w:rsidR="00965531">
        <w:rPr>
          <w:rFonts w:ascii="Gill Sans MT" w:hAnsi="Gill Sans MT" w:cs="Times New Roman"/>
          <w:b/>
          <w:sz w:val="24"/>
          <w:szCs w:val="24"/>
        </w:rPr>
        <w:t>02</w:t>
      </w:r>
      <w:r w:rsidR="00CA2818" w:rsidRPr="0007659C">
        <w:rPr>
          <w:rFonts w:ascii="Gill Sans MT" w:hAnsi="Gill Sans MT" w:cs="Times New Roman"/>
          <w:b/>
          <w:sz w:val="24"/>
          <w:szCs w:val="24"/>
        </w:rPr>
        <w:t xml:space="preserve">, 2020 </w:t>
      </w:r>
      <w:r w:rsidR="0007659C" w:rsidRPr="0007659C">
        <w:rPr>
          <w:rFonts w:ascii="Gill Sans MT" w:hAnsi="Gill Sans MT" w:cs="Times New Roman"/>
          <w:b/>
          <w:sz w:val="24"/>
          <w:szCs w:val="24"/>
        </w:rPr>
        <w:t xml:space="preserve">- </w:t>
      </w:r>
      <w:r w:rsidR="00CA2818" w:rsidRPr="0007659C">
        <w:rPr>
          <w:rFonts w:ascii="Gill Sans MT" w:hAnsi="Gill Sans MT" w:cs="Times New Roman"/>
          <w:sz w:val="24"/>
          <w:szCs w:val="24"/>
        </w:rPr>
        <w:t xml:space="preserve">Central Depository Services </w:t>
      </w:r>
      <w:r w:rsidR="0058536B">
        <w:rPr>
          <w:rFonts w:ascii="Gill Sans MT" w:hAnsi="Gill Sans MT" w:cs="Times New Roman"/>
          <w:sz w:val="24"/>
          <w:szCs w:val="24"/>
        </w:rPr>
        <w:t>(</w:t>
      </w:r>
      <w:r w:rsidR="00CA2818" w:rsidRPr="0007659C">
        <w:rPr>
          <w:rFonts w:ascii="Gill Sans MT" w:hAnsi="Gill Sans MT" w:cs="Times New Roman"/>
          <w:sz w:val="24"/>
          <w:szCs w:val="24"/>
        </w:rPr>
        <w:t>India)</w:t>
      </w:r>
      <w:r w:rsidR="0058536B" w:rsidRPr="0058536B">
        <w:rPr>
          <w:rFonts w:ascii="Gill Sans MT" w:hAnsi="Gill Sans MT" w:cs="Times New Roman"/>
          <w:sz w:val="24"/>
          <w:szCs w:val="24"/>
        </w:rPr>
        <w:t xml:space="preserve"> </w:t>
      </w:r>
      <w:r w:rsidR="0058536B" w:rsidRPr="0007659C">
        <w:rPr>
          <w:rFonts w:ascii="Gill Sans MT" w:hAnsi="Gill Sans MT" w:cs="Times New Roman"/>
          <w:sz w:val="24"/>
          <w:szCs w:val="24"/>
        </w:rPr>
        <w:t>Limited</w:t>
      </w:r>
      <w:r w:rsidR="0058536B">
        <w:rPr>
          <w:rFonts w:ascii="Gill Sans MT" w:hAnsi="Gill Sans MT" w:cs="Times New Roman"/>
          <w:sz w:val="24"/>
          <w:szCs w:val="24"/>
        </w:rPr>
        <w:t xml:space="preserve"> </w:t>
      </w:r>
      <w:r w:rsidR="0058536B" w:rsidRPr="0007659C">
        <w:rPr>
          <w:rFonts w:ascii="Gill Sans MT" w:hAnsi="Gill Sans MT" w:cs="Times New Roman"/>
          <w:sz w:val="24"/>
          <w:szCs w:val="24"/>
        </w:rPr>
        <w:t>(CDSL</w:t>
      </w:r>
      <w:r w:rsidR="00640530">
        <w:rPr>
          <w:rFonts w:ascii="Gill Sans MT" w:hAnsi="Gill Sans MT" w:cs="Times New Roman"/>
          <w:sz w:val="24"/>
          <w:szCs w:val="24"/>
        </w:rPr>
        <w:t>)</w:t>
      </w:r>
      <w:r w:rsidR="00F20B35">
        <w:rPr>
          <w:rFonts w:ascii="Gill Sans MT" w:hAnsi="Gill Sans MT" w:cs="Times New Roman"/>
          <w:sz w:val="24"/>
          <w:szCs w:val="24"/>
        </w:rPr>
        <w:t xml:space="preserve">, </w:t>
      </w:r>
      <w:r w:rsidR="00F20B35" w:rsidRPr="00F20B35">
        <w:rPr>
          <w:rFonts w:ascii="Gill Sans MT" w:hAnsi="Gill Sans MT" w:cs="Times New Roman"/>
          <w:sz w:val="24"/>
          <w:szCs w:val="24"/>
        </w:rPr>
        <w:t>the first listed depository in India</w:t>
      </w:r>
      <w:r w:rsidR="0058536B">
        <w:rPr>
          <w:rFonts w:ascii="Gill Sans MT" w:hAnsi="Gill Sans MT" w:cs="Times New Roman"/>
          <w:sz w:val="24"/>
          <w:szCs w:val="24"/>
        </w:rPr>
        <w:t>,</w:t>
      </w:r>
      <w:r w:rsidR="00CE0971" w:rsidRPr="0007659C">
        <w:rPr>
          <w:rFonts w:ascii="Gill Sans MT" w:hAnsi="Gill Sans MT" w:cs="Times New Roman"/>
          <w:sz w:val="24"/>
          <w:szCs w:val="24"/>
        </w:rPr>
        <w:t xml:space="preserve"> </w:t>
      </w:r>
      <w:r>
        <w:rPr>
          <w:rFonts w:ascii="Gill Sans MT" w:hAnsi="Gill Sans MT" w:cs="Times New Roman"/>
          <w:sz w:val="24"/>
          <w:szCs w:val="24"/>
        </w:rPr>
        <w:t xml:space="preserve">is pleased to announce that the net number of active demat accounts opened with CDSL, has crossed </w:t>
      </w:r>
      <w:r w:rsidRPr="00B523EE">
        <w:rPr>
          <w:rFonts w:ascii="Gill Sans MT" w:hAnsi="Gill Sans MT" w:cs="Times New Roman"/>
          <w:b/>
          <w:sz w:val="24"/>
          <w:szCs w:val="24"/>
        </w:rPr>
        <w:t>a new milestone of 2.5 crore (25 Million)</w:t>
      </w:r>
      <w:r>
        <w:rPr>
          <w:rFonts w:ascii="Gill Sans MT" w:hAnsi="Gill Sans MT" w:cs="Times New Roman"/>
          <w:sz w:val="24"/>
          <w:szCs w:val="24"/>
        </w:rPr>
        <w:t>.</w:t>
      </w:r>
    </w:p>
    <w:p w:rsidR="00B523EE" w:rsidRDefault="00B523EE" w:rsidP="00F072E1">
      <w:pPr>
        <w:spacing w:line="276" w:lineRule="auto"/>
        <w:jc w:val="both"/>
        <w:rPr>
          <w:rFonts w:ascii="Gill Sans MT" w:hAnsi="Gill Sans MT" w:cs="Times New Roman"/>
          <w:sz w:val="24"/>
          <w:szCs w:val="24"/>
        </w:rPr>
      </w:pPr>
      <w:r w:rsidRPr="00B523EE">
        <w:rPr>
          <w:rFonts w:ascii="Gill Sans MT" w:hAnsi="Gill Sans MT" w:cs="Times New Roman"/>
          <w:sz w:val="24"/>
          <w:szCs w:val="24"/>
        </w:rPr>
        <w:t>CDSL, which began its operations in 1999, reached the 1 crore (10 million) active demat</w:t>
      </w:r>
      <w:r>
        <w:rPr>
          <w:rFonts w:ascii="Gill Sans MT" w:hAnsi="Gill Sans MT" w:cs="Times New Roman"/>
          <w:sz w:val="24"/>
          <w:szCs w:val="24"/>
        </w:rPr>
        <w:t xml:space="preserve"> </w:t>
      </w:r>
      <w:r w:rsidRPr="00B523EE">
        <w:rPr>
          <w:rFonts w:ascii="Gill Sans MT" w:hAnsi="Gill Sans MT" w:cs="Times New Roman"/>
          <w:sz w:val="24"/>
          <w:szCs w:val="24"/>
        </w:rPr>
        <w:t>accounts in September, 2015</w:t>
      </w:r>
      <w:r>
        <w:rPr>
          <w:rFonts w:ascii="Gill Sans MT" w:hAnsi="Gill Sans MT" w:cs="Times New Roman"/>
          <w:sz w:val="24"/>
          <w:szCs w:val="24"/>
        </w:rPr>
        <w:t xml:space="preserve">, </w:t>
      </w:r>
      <w:r w:rsidRPr="00B523EE">
        <w:rPr>
          <w:rFonts w:ascii="Gill Sans MT" w:hAnsi="Gill Sans MT" w:cs="Times New Roman"/>
          <w:sz w:val="24"/>
          <w:szCs w:val="24"/>
        </w:rPr>
        <w:t>crossed the 2</w:t>
      </w:r>
      <w:r w:rsidR="003922E8">
        <w:rPr>
          <w:rFonts w:ascii="Gill Sans MT" w:hAnsi="Gill Sans MT" w:cs="Times New Roman"/>
          <w:sz w:val="24"/>
          <w:szCs w:val="24"/>
        </w:rPr>
        <w:t>-</w:t>
      </w:r>
      <w:r w:rsidRPr="00B523EE">
        <w:rPr>
          <w:rFonts w:ascii="Gill Sans MT" w:hAnsi="Gill Sans MT" w:cs="Times New Roman"/>
          <w:sz w:val="24"/>
          <w:szCs w:val="24"/>
        </w:rPr>
        <w:t>crore mark in January, 2020</w:t>
      </w:r>
      <w:r>
        <w:rPr>
          <w:rFonts w:ascii="Gill Sans MT" w:hAnsi="Gill Sans MT" w:cs="Times New Roman"/>
          <w:sz w:val="24"/>
          <w:szCs w:val="24"/>
        </w:rPr>
        <w:t xml:space="preserve"> and crossed the 2.5 crore mark as on August 31, 2020</w:t>
      </w:r>
      <w:r w:rsidRPr="00B523EE">
        <w:rPr>
          <w:rFonts w:ascii="Gill Sans MT" w:hAnsi="Gill Sans MT" w:cs="Times New Roman"/>
          <w:sz w:val="24"/>
          <w:szCs w:val="24"/>
        </w:rPr>
        <w:t xml:space="preserve">. </w:t>
      </w:r>
      <w:r w:rsidRPr="00B523EE">
        <w:rPr>
          <w:rFonts w:ascii="Gill Sans MT" w:hAnsi="Gill Sans MT" w:cs="Times New Roman"/>
          <w:b/>
          <w:sz w:val="24"/>
          <w:szCs w:val="24"/>
        </w:rPr>
        <w:t>In the period of less than 5 years, CDSL has added 1.5 crore demat accounts.</w:t>
      </w:r>
    </w:p>
    <w:p w:rsidR="0058148D" w:rsidRPr="00AB53C4" w:rsidRDefault="00CE0971" w:rsidP="00F072E1">
      <w:pPr>
        <w:spacing w:line="276" w:lineRule="auto"/>
        <w:jc w:val="both"/>
        <w:rPr>
          <w:rFonts w:ascii="Gill Sans MT" w:hAnsi="Gill Sans MT" w:cs="Times New Roman"/>
          <w:b/>
          <w:i/>
          <w:sz w:val="24"/>
          <w:szCs w:val="24"/>
          <w:u w:val="single"/>
        </w:rPr>
      </w:pPr>
      <w:r w:rsidRPr="0007659C">
        <w:rPr>
          <w:rFonts w:ascii="Gill Sans MT" w:hAnsi="Gill Sans MT" w:cs="Times New Roman"/>
          <w:sz w:val="24"/>
          <w:szCs w:val="24"/>
        </w:rPr>
        <w:t xml:space="preserve">Speaking </w:t>
      </w:r>
      <w:r w:rsidR="00CA2818" w:rsidRPr="0007659C">
        <w:rPr>
          <w:rFonts w:ascii="Gill Sans MT" w:hAnsi="Gill Sans MT" w:cs="Times New Roman"/>
          <w:sz w:val="24"/>
          <w:szCs w:val="24"/>
        </w:rPr>
        <w:t xml:space="preserve">on the </w:t>
      </w:r>
      <w:r w:rsidR="00B523EE">
        <w:rPr>
          <w:rFonts w:ascii="Gill Sans MT" w:hAnsi="Gill Sans MT" w:cs="Times New Roman"/>
          <w:sz w:val="24"/>
          <w:szCs w:val="24"/>
        </w:rPr>
        <w:t>milestone achieved</w:t>
      </w:r>
      <w:r w:rsidR="00CA2818" w:rsidRPr="0007659C">
        <w:rPr>
          <w:rFonts w:ascii="Gill Sans MT" w:hAnsi="Gill Sans MT" w:cs="Times New Roman"/>
          <w:sz w:val="24"/>
          <w:szCs w:val="24"/>
        </w:rPr>
        <w:t>,</w:t>
      </w:r>
      <w:r w:rsidR="00B523EE">
        <w:rPr>
          <w:rFonts w:ascii="Gill Sans MT" w:hAnsi="Gill Sans MT" w:cs="Times New Roman"/>
          <w:sz w:val="24"/>
          <w:szCs w:val="24"/>
        </w:rPr>
        <w:t xml:space="preserve"> CDSL MD &amp; CEO, Shri Nehal Vora said, “</w:t>
      </w:r>
      <w:r w:rsidR="00560C5B" w:rsidRPr="00560C5B">
        <w:rPr>
          <w:rFonts w:ascii="Gill Sans MT" w:hAnsi="Gill Sans MT" w:cs="Times New Roman"/>
          <w:i/>
          <w:sz w:val="24"/>
          <w:szCs w:val="24"/>
        </w:rPr>
        <w:t xml:space="preserve">We are delighted to add another landmark to our history of many firsts – Being the </w:t>
      </w:r>
      <w:r w:rsidR="00560C5B" w:rsidRPr="00AB53C4">
        <w:rPr>
          <w:rFonts w:ascii="Gill Sans MT" w:hAnsi="Gill Sans MT" w:cs="Times New Roman"/>
          <w:b/>
          <w:i/>
          <w:sz w:val="24"/>
          <w:szCs w:val="24"/>
        </w:rPr>
        <w:t>first listed</w:t>
      </w:r>
      <w:r w:rsidR="00560C5B" w:rsidRPr="00560C5B">
        <w:rPr>
          <w:rFonts w:ascii="Gill Sans MT" w:hAnsi="Gill Sans MT" w:cs="Times New Roman"/>
          <w:i/>
          <w:sz w:val="24"/>
          <w:szCs w:val="24"/>
        </w:rPr>
        <w:t xml:space="preserve"> depository in Asia-Pacific, </w:t>
      </w:r>
      <w:r w:rsidR="006B375A">
        <w:rPr>
          <w:rFonts w:ascii="Gill Sans MT" w:hAnsi="Gill Sans MT" w:cs="Times New Roman"/>
          <w:i/>
          <w:sz w:val="24"/>
          <w:szCs w:val="24"/>
        </w:rPr>
        <w:t>b</w:t>
      </w:r>
      <w:r w:rsidR="00560C5B" w:rsidRPr="00560C5B">
        <w:rPr>
          <w:rFonts w:ascii="Gill Sans MT" w:hAnsi="Gill Sans MT" w:cs="Times New Roman"/>
          <w:i/>
          <w:sz w:val="24"/>
          <w:szCs w:val="24"/>
        </w:rPr>
        <w:t xml:space="preserve">eing the </w:t>
      </w:r>
      <w:r w:rsidR="006B375A">
        <w:rPr>
          <w:rFonts w:ascii="Gill Sans MT" w:hAnsi="Gill Sans MT" w:cs="Times New Roman"/>
          <w:b/>
          <w:i/>
          <w:sz w:val="24"/>
          <w:szCs w:val="24"/>
        </w:rPr>
        <w:t>f</w:t>
      </w:r>
      <w:r w:rsidR="00560C5B" w:rsidRPr="00AB53C4">
        <w:rPr>
          <w:rFonts w:ascii="Gill Sans MT" w:hAnsi="Gill Sans MT" w:cs="Times New Roman"/>
          <w:b/>
          <w:i/>
          <w:sz w:val="24"/>
          <w:szCs w:val="24"/>
        </w:rPr>
        <w:t>irst depository to launc</w:t>
      </w:r>
      <w:r w:rsidR="00BA3218" w:rsidRPr="00AB53C4">
        <w:rPr>
          <w:rFonts w:ascii="Gill Sans MT" w:hAnsi="Gill Sans MT" w:cs="Times New Roman"/>
          <w:b/>
          <w:i/>
          <w:sz w:val="24"/>
          <w:szCs w:val="24"/>
        </w:rPr>
        <w:t>h</w:t>
      </w:r>
      <w:r w:rsidR="00560C5B" w:rsidRPr="00AB53C4">
        <w:rPr>
          <w:rFonts w:ascii="Gill Sans MT" w:hAnsi="Gill Sans MT" w:cs="Times New Roman"/>
          <w:b/>
          <w:i/>
          <w:sz w:val="24"/>
          <w:szCs w:val="24"/>
        </w:rPr>
        <w:t xml:space="preserve"> operations in IFSC</w:t>
      </w:r>
      <w:r w:rsidR="00560C5B" w:rsidRPr="00560C5B">
        <w:rPr>
          <w:rFonts w:ascii="Gill Sans MT" w:hAnsi="Gill Sans MT" w:cs="Times New Roman"/>
          <w:i/>
          <w:sz w:val="24"/>
          <w:szCs w:val="24"/>
        </w:rPr>
        <w:t>, GIFT City, Guj</w:t>
      </w:r>
      <w:r w:rsidR="006B375A">
        <w:rPr>
          <w:rFonts w:ascii="Gill Sans MT" w:hAnsi="Gill Sans MT" w:cs="Times New Roman"/>
          <w:i/>
          <w:sz w:val="24"/>
          <w:szCs w:val="24"/>
        </w:rPr>
        <w:t>a</w:t>
      </w:r>
      <w:r w:rsidR="00560C5B" w:rsidRPr="00560C5B">
        <w:rPr>
          <w:rFonts w:ascii="Gill Sans MT" w:hAnsi="Gill Sans MT" w:cs="Times New Roman"/>
          <w:i/>
          <w:sz w:val="24"/>
          <w:szCs w:val="24"/>
        </w:rPr>
        <w:t xml:space="preserve">rat, </w:t>
      </w:r>
      <w:r w:rsidR="008B6D98">
        <w:rPr>
          <w:rFonts w:ascii="Gill Sans MT" w:hAnsi="Gill Sans MT" w:cs="Times New Roman"/>
          <w:b/>
          <w:i/>
          <w:sz w:val="24"/>
          <w:szCs w:val="24"/>
        </w:rPr>
        <w:t>f</w:t>
      </w:r>
      <w:r w:rsidR="008B6D98" w:rsidRPr="00AB53C4">
        <w:rPr>
          <w:rFonts w:ascii="Gill Sans MT" w:hAnsi="Gill Sans MT" w:cs="Times New Roman"/>
          <w:b/>
          <w:i/>
          <w:sz w:val="24"/>
          <w:szCs w:val="24"/>
        </w:rPr>
        <w:t>irst</w:t>
      </w:r>
      <w:r w:rsidR="008B6D98" w:rsidRPr="00560C5B">
        <w:rPr>
          <w:rFonts w:ascii="Gill Sans MT" w:hAnsi="Gill Sans MT" w:cs="Times New Roman"/>
          <w:i/>
          <w:sz w:val="24"/>
          <w:szCs w:val="24"/>
        </w:rPr>
        <w:t xml:space="preserve"> </w:t>
      </w:r>
      <w:r w:rsidR="00560C5B" w:rsidRPr="00AB53C4">
        <w:rPr>
          <w:rFonts w:ascii="Gill Sans MT" w:hAnsi="Gill Sans MT" w:cs="Times New Roman"/>
          <w:b/>
          <w:i/>
          <w:sz w:val="24"/>
          <w:szCs w:val="24"/>
        </w:rPr>
        <w:t>depository to reach the milestone of 2 crore demat accounts</w:t>
      </w:r>
      <w:r w:rsidR="00560C5B" w:rsidRPr="00560C5B">
        <w:rPr>
          <w:rFonts w:ascii="Gill Sans MT" w:hAnsi="Gill Sans MT" w:cs="Times New Roman"/>
          <w:i/>
          <w:sz w:val="24"/>
          <w:szCs w:val="24"/>
        </w:rPr>
        <w:t xml:space="preserve"> and now the </w:t>
      </w:r>
      <w:r w:rsidR="00560C5B" w:rsidRPr="00AB53C4">
        <w:rPr>
          <w:rFonts w:ascii="Gill Sans MT" w:hAnsi="Gill Sans MT" w:cs="Times New Roman"/>
          <w:b/>
          <w:i/>
          <w:sz w:val="24"/>
          <w:szCs w:val="24"/>
          <w:u w:val="single"/>
        </w:rPr>
        <w:t>f</w:t>
      </w:r>
      <w:r w:rsidR="006B375A">
        <w:rPr>
          <w:rFonts w:ascii="Gill Sans MT" w:hAnsi="Gill Sans MT" w:cs="Times New Roman"/>
          <w:b/>
          <w:i/>
          <w:sz w:val="24"/>
          <w:szCs w:val="24"/>
          <w:u w:val="single"/>
        </w:rPr>
        <w:t>irst</w:t>
      </w:r>
      <w:r w:rsidR="00560C5B" w:rsidRPr="00AB53C4">
        <w:rPr>
          <w:rFonts w:ascii="Gill Sans MT" w:hAnsi="Gill Sans MT" w:cs="Times New Roman"/>
          <w:b/>
          <w:i/>
          <w:sz w:val="24"/>
          <w:szCs w:val="24"/>
          <w:u w:val="single"/>
        </w:rPr>
        <w:t xml:space="preserve"> depository to cross more than 2.5 crore demat accounts.</w:t>
      </w:r>
      <w:r w:rsidR="00F42B8B">
        <w:rPr>
          <w:rFonts w:ascii="Gill Sans MT" w:hAnsi="Gill Sans MT" w:cs="Times New Roman"/>
          <w:b/>
          <w:i/>
          <w:sz w:val="24"/>
          <w:szCs w:val="24"/>
          <w:u w:val="single"/>
        </w:rPr>
        <w:t xml:space="preserve"> </w:t>
      </w:r>
    </w:p>
    <w:p w:rsidR="00560C5B" w:rsidRPr="00560C5B" w:rsidRDefault="00560C5B" w:rsidP="00F072E1">
      <w:pPr>
        <w:spacing w:line="276" w:lineRule="auto"/>
        <w:jc w:val="both"/>
        <w:rPr>
          <w:rFonts w:ascii="Gill Sans MT" w:hAnsi="Gill Sans MT" w:cs="Times New Roman"/>
          <w:i/>
          <w:sz w:val="24"/>
          <w:szCs w:val="24"/>
        </w:rPr>
      </w:pPr>
      <w:r>
        <w:rPr>
          <w:rFonts w:ascii="Gill Sans MT" w:hAnsi="Gill Sans MT" w:cs="Times New Roman"/>
          <w:i/>
          <w:sz w:val="24"/>
          <w:szCs w:val="24"/>
        </w:rPr>
        <w:t xml:space="preserve">The said growth of investors, especially in the current unprecedent times, </w:t>
      </w:r>
      <w:r w:rsidR="008365A4">
        <w:rPr>
          <w:rFonts w:ascii="Gill Sans MT" w:hAnsi="Gill Sans MT" w:cs="Times New Roman"/>
          <w:i/>
          <w:sz w:val="24"/>
          <w:szCs w:val="24"/>
        </w:rPr>
        <w:t xml:space="preserve">is a representation that the Investor is now moving to self-sufficient environment with opening and operating demat accounts from the comfort of their homes. This milestone is in </w:t>
      </w:r>
      <w:r w:rsidR="001E711A">
        <w:rPr>
          <w:rFonts w:ascii="Gill Sans MT" w:hAnsi="Gill Sans MT" w:cs="Times New Roman"/>
          <w:i/>
          <w:sz w:val="24"/>
          <w:szCs w:val="24"/>
        </w:rPr>
        <w:t xml:space="preserve">line </w:t>
      </w:r>
      <w:r w:rsidR="008365A4">
        <w:rPr>
          <w:rFonts w:ascii="Gill Sans MT" w:hAnsi="Gill Sans MT" w:cs="Times New Roman"/>
          <w:i/>
          <w:sz w:val="24"/>
          <w:szCs w:val="24"/>
        </w:rPr>
        <w:t>with CDSL’s strategy of empowering the ‘Atmarnirbhar Niveshak’</w:t>
      </w:r>
      <w:r w:rsidR="005E476B">
        <w:rPr>
          <w:rFonts w:ascii="Gill Sans MT" w:hAnsi="Gill Sans MT" w:cs="Times New Roman"/>
          <w:i/>
          <w:sz w:val="24"/>
          <w:szCs w:val="24"/>
        </w:rPr>
        <w:t xml:space="preserve"> or the </w:t>
      </w:r>
      <w:r w:rsidR="002500D5">
        <w:rPr>
          <w:rFonts w:ascii="Gill Sans MT" w:hAnsi="Gill Sans MT" w:cs="Times New Roman"/>
          <w:i/>
          <w:sz w:val="24"/>
          <w:szCs w:val="24"/>
        </w:rPr>
        <w:t>self-</w:t>
      </w:r>
      <w:r w:rsidR="005E476B">
        <w:rPr>
          <w:rFonts w:ascii="Gill Sans MT" w:hAnsi="Gill Sans MT" w:cs="Times New Roman"/>
          <w:i/>
          <w:sz w:val="24"/>
          <w:szCs w:val="24"/>
        </w:rPr>
        <w:t xml:space="preserve">sufficient investor and </w:t>
      </w:r>
      <w:r w:rsidR="002F7593">
        <w:rPr>
          <w:rFonts w:ascii="Gill Sans MT" w:hAnsi="Gill Sans MT" w:cs="Times New Roman"/>
          <w:i/>
          <w:sz w:val="24"/>
          <w:szCs w:val="24"/>
        </w:rPr>
        <w:t>enhancing the digital footprint in all facets of the financial markets.</w:t>
      </w:r>
      <w:r w:rsidR="007F0A91">
        <w:rPr>
          <w:rFonts w:ascii="Gill Sans MT" w:hAnsi="Gill Sans MT" w:cs="Times New Roman"/>
          <w:i/>
          <w:sz w:val="24"/>
          <w:szCs w:val="24"/>
        </w:rPr>
        <w:t>”</w:t>
      </w:r>
    </w:p>
    <w:p w:rsidR="0007659C" w:rsidRPr="0007659C" w:rsidRDefault="0007659C" w:rsidP="00F072E1">
      <w:pPr>
        <w:spacing w:line="276" w:lineRule="auto"/>
        <w:jc w:val="both"/>
        <w:rPr>
          <w:rFonts w:ascii="Gill Sans MT" w:hAnsi="Gill Sans MT"/>
          <w:b/>
          <w:bCs/>
          <w:sz w:val="24"/>
          <w:szCs w:val="24"/>
          <w:u w:val="single"/>
        </w:rPr>
      </w:pPr>
      <w:r w:rsidRPr="0007659C">
        <w:rPr>
          <w:rFonts w:ascii="Gill Sans MT" w:hAnsi="Gill Sans MT"/>
          <w:b/>
          <w:bCs/>
          <w:sz w:val="24"/>
          <w:szCs w:val="24"/>
          <w:u w:val="single"/>
        </w:rPr>
        <w:t>About CDSL:</w:t>
      </w:r>
    </w:p>
    <w:p w:rsidR="0007659C" w:rsidRPr="0007659C" w:rsidRDefault="0007659C" w:rsidP="00F072E1">
      <w:pPr>
        <w:spacing w:line="276" w:lineRule="auto"/>
        <w:jc w:val="both"/>
        <w:rPr>
          <w:rFonts w:ascii="Gill Sans MT" w:hAnsi="Gill Sans MT"/>
          <w:sz w:val="24"/>
          <w:szCs w:val="24"/>
        </w:rPr>
      </w:pPr>
      <w:r w:rsidRPr="0007659C">
        <w:rPr>
          <w:rFonts w:ascii="Gill Sans MT" w:hAnsi="Gill Sans MT"/>
          <w:b/>
          <w:bCs/>
          <w:sz w:val="24"/>
          <w:szCs w:val="24"/>
        </w:rPr>
        <w:t>Central Depository Services (India) Limited (CDSL)</w:t>
      </w:r>
      <w:r w:rsidRPr="0007659C">
        <w:rPr>
          <w:rFonts w:ascii="Gill Sans MT" w:hAnsi="Gill Sans MT"/>
          <w:sz w:val="24"/>
          <w:szCs w:val="24"/>
        </w:rPr>
        <w:t xml:space="preserve"> is India’s leading and only listed depository, with an objective of providing convenient, dependable and secure depository services at affordable cost to all market participants. CDSL received its certificate of commencement of business from SEBI in February 1999 and it facilitates holding and transacting in securities in the electronic form and facilitates settlement of trades on stock exchanges. </w:t>
      </w:r>
    </w:p>
    <w:p w:rsidR="0007659C" w:rsidRPr="0007659C" w:rsidRDefault="0007659C" w:rsidP="00F072E1">
      <w:pPr>
        <w:spacing w:line="276" w:lineRule="auto"/>
        <w:jc w:val="both"/>
        <w:rPr>
          <w:rFonts w:ascii="Gill Sans MT" w:hAnsi="Gill Sans MT"/>
          <w:sz w:val="24"/>
          <w:szCs w:val="24"/>
        </w:rPr>
      </w:pPr>
      <w:bookmarkStart w:id="0" w:name="_30j0zll"/>
      <w:bookmarkEnd w:id="0"/>
      <w:r w:rsidRPr="0007659C">
        <w:rPr>
          <w:rFonts w:ascii="Gill Sans MT" w:hAnsi="Gill Sans MT"/>
          <w:sz w:val="24"/>
          <w:szCs w:val="24"/>
        </w:rPr>
        <w:t>CDSL maintains and services</w:t>
      </w:r>
      <w:r w:rsidR="00957471">
        <w:rPr>
          <w:rFonts w:ascii="Gill Sans MT" w:hAnsi="Gill Sans MT"/>
          <w:sz w:val="24"/>
          <w:szCs w:val="24"/>
        </w:rPr>
        <w:t xml:space="preserve"> over</w:t>
      </w:r>
      <w:r w:rsidRPr="0007659C">
        <w:rPr>
          <w:rFonts w:ascii="Gill Sans MT" w:hAnsi="Gill Sans MT"/>
          <w:sz w:val="24"/>
          <w:szCs w:val="24"/>
        </w:rPr>
        <w:t xml:space="preserve"> </w:t>
      </w:r>
      <w:r w:rsidR="00E67ED5">
        <w:rPr>
          <w:rFonts w:ascii="Gill Sans MT" w:hAnsi="Gill Sans MT"/>
          <w:sz w:val="24"/>
          <w:szCs w:val="24"/>
        </w:rPr>
        <w:t>2</w:t>
      </w:r>
      <w:r w:rsidRPr="0007659C">
        <w:rPr>
          <w:rFonts w:ascii="Gill Sans MT" w:hAnsi="Gill Sans MT"/>
          <w:sz w:val="24"/>
          <w:szCs w:val="24"/>
        </w:rPr>
        <w:t>.</w:t>
      </w:r>
      <w:r w:rsidR="00E67ED5">
        <w:rPr>
          <w:rFonts w:ascii="Gill Sans MT" w:hAnsi="Gill Sans MT"/>
          <w:sz w:val="24"/>
          <w:szCs w:val="24"/>
        </w:rPr>
        <w:t>5</w:t>
      </w:r>
      <w:r w:rsidRPr="0007659C">
        <w:rPr>
          <w:rFonts w:ascii="Gill Sans MT" w:hAnsi="Gill Sans MT"/>
          <w:sz w:val="24"/>
          <w:szCs w:val="24"/>
        </w:rPr>
        <w:t xml:space="preserve"> crore Demat accounts of Investors or Beneficial Owners (BOs) spread across India.  These BOs are serviced by CDSL’s 59</w:t>
      </w:r>
      <w:r w:rsidR="00E67ED5">
        <w:rPr>
          <w:rFonts w:ascii="Gill Sans MT" w:hAnsi="Gill Sans MT"/>
          <w:sz w:val="24"/>
          <w:szCs w:val="24"/>
        </w:rPr>
        <w:t>6</w:t>
      </w:r>
      <w:r w:rsidRPr="0007659C">
        <w:rPr>
          <w:rFonts w:ascii="Gill Sans MT" w:hAnsi="Gill Sans MT"/>
          <w:sz w:val="24"/>
          <w:szCs w:val="24"/>
        </w:rPr>
        <w:t xml:space="preserve"> Depository Participants (DPs) from over </w:t>
      </w:r>
      <w:r w:rsidR="00E67ED5">
        <w:rPr>
          <w:rFonts w:ascii="Gill Sans MT" w:hAnsi="Gill Sans MT"/>
          <w:sz w:val="24"/>
          <w:szCs w:val="24"/>
        </w:rPr>
        <w:t>20</w:t>
      </w:r>
      <w:r w:rsidRPr="0007659C">
        <w:rPr>
          <w:rFonts w:ascii="Gill Sans MT" w:hAnsi="Gill Sans MT"/>
          <w:sz w:val="24"/>
          <w:szCs w:val="24"/>
        </w:rPr>
        <w:t>,</w:t>
      </w:r>
      <w:r w:rsidR="00E67ED5">
        <w:rPr>
          <w:rFonts w:ascii="Gill Sans MT" w:hAnsi="Gill Sans MT"/>
          <w:sz w:val="24"/>
          <w:szCs w:val="24"/>
        </w:rPr>
        <w:t>0</w:t>
      </w:r>
      <w:r w:rsidRPr="0007659C">
        <w:rPr>
          <w:rFonts w:ascii="Gill Sans MT" w:hAnsi="Gill Sans MT"/>
          <w:sz w:val="24"/>
          <w:szCs w:val="24"/>
        </w:rPr>
        <w:t xml:space="preserve">00 locations. </w:t>
      </w:r>
    </w:p>
    <w:p w:rsidR="0007659C" w:rsidRPr="0007659C" w:rsidRDefault="0007659C" w:rsidP="00F072E1">
      <w:pPr>
        <w:spacing w:line="276" w:lineRule="auto"/>
        <w:jc w:val="both"/>
        <w:rPr>
          <w:rFonts w:ascii="Gill Sans MT" w:hAnsi="Gill Sans MT"/>
          <w:sz w:val="24"/>
          <w:szCs w:val="24"/>
        </w:rPr>
      </w:pPr>
      <w:r w:rsidRPr="0007659C">
        <w:rPr>
          <w:rFonts w:ascii="Gill Sans MT" w:hAnsi="Gill Sans MT"/>
          <w:sz w:val="24"/>
          <w:szCs w:val="24"/>
        </w:rPr>
        <w:t>CDSL’s enduring focus on delivering quality services and innovative products has propelled it on a high-growth path in recent years. Since the financial services industry has become increasingly IT-reliant, cutting-edge technology is at the heart of CDSL’s strategic vision.</w:t>
      </w:r>
    </w:p>
    <w:p w:rsidR="0007659C" w:rsidRPr="0007659C" w:rsidRDefault="0007659C" w:rsidP="00F072E1">
      <w:pPr>
        <w:spacing w:line="276" w:lineRule="auto"/>
        <w:jc w:val="both"/>
        <w:rPr>
          <w:rFonts w:ascii="Gill Sans MT" w:hAnsi="Gill Sans MT"/>
          <w:sz w:val="24"/>
          <w:szCs w:val="24"/>
        </w:rPr>
      </w:pPr>
      <w:r w:rsidRPr="0007659C">
        <w:rPr>
          <w:rFonts w:ascii="Gill Sans MT" w:hAnsi="Gill Sans MT"/>
          <w:sz w:val="24"/>
          <w:szCs w:val="24"/>
        </w:rPr>
        <w:t xml:space="preserve">Major shareholders of CDSL include BSE, Canara Bank, HDFC Bank, LIC and Standard Chartered Bank. </w:t>
      </w:r>
    </w:p>
    <w:p w:rsidR="0007659C" w:rsidRPr="0007659C" w:rsidRDefault="0007659C" w:rsidP="00F072E1">
      <w:pPr>
        <w:spacing w:line="276" w:lineRule="auto"/>
        <w:jc w:val="both"/>
        <w:rPr>
          <w:rFonts w:ascii="Gill Sans MT" w:hAnsi="Gill Sans MT"/>
          <w:sz w:val="24"/>
          <w:szCs w:val="24"/>
        </w:rPr>
      </w:pPr>
      <w:bookmarkStart w:id="1" w:name="_1fob9te"/>
      <w:bookmarkEnd w:id="1"/>
      <w:r w:rsidRPr="0007659C">
        <w:rPr>
          <w:rFonts w:ascii="Gill Sans MT" w:hAnsi="Gill Sans MT"/>
          <w:sz w:val="24"/>
          <w:szCs w:val="24"/>
        </w:rPr>
        <w:lastRenderedPageBreak/>
        <w:t>CDSL along with its subsidiaries also provides a host of services to the financial intermediaries and markets, these include:</w:t>
      </w:r>
    </w:p>
    <w:p w:rsidR="0007659C" w:rsidRPr="0007659C" w:rsidRDefault="0007659C" w:rsidP="00F072E1">
      <w:pPr>
        <w:pStyle w:val="ListParagraph"/>
        <w:numPr>
          <w:ilvl w:val="0"/>
          <w:numId w:val="1"/>
        </w:numPr>
        <w:jc w:val="both"/>
        <w:rPr>
          <w:rFonts w:ascii="Gill Sans MT" w:hAnsi="Gill Sans MT"/>
          <w:color w:val="000000"/>
          <w:sz w:val="24"/>
          <w:szCs w:val="24"/>
        </w:rPr>
      </w:pPr>
      <w:bookmarkStart w:id="2" w:name="_3znysh7"/>
      <w:bookmarkEnd w:id="2"/>
      <w:r w:rsidRPr="0007659C">
        <w:rPr>
          <w:rFonts w:ascii="Gill Sans MT" w:hAnsi="Gill Sans MT"/>
          <w:b/>
          <w:bCs/>
          <w:color w:val="000000"/>
          <w:sz w:val="24"/>
          <w:szCs w:val="24"/>
        </w:rPr>
        <w:t>CDSL Ventures Limited (CVL)</w:t>
      </w:r>
      <w:r w:rsidRPr="0007659C">
        <w:rPr>
          <w:rFonts w:ascii="Gill Sans MT" w:hAnsi="Gill Sans MT"/>
          <w:color w:val="000000"/>
          <w:sz w:val="24"/>
          <w:szCs w:val="24"/>
        </w:rPr>
        <w:t xml:space="preserve"> looks after "Customer profiling and Record Keeping" for issuance of Know Your Client (KYC) acknowledgement to mutual fund investors. It is the first and largest KYC Registration Agency (KRA) in India with over 2 crore KYC records. The KRA enables a KYC compliant investor to avoid duplication of KYC process while opening an account for the purpose of trading / investment through multiple intermediaries in the securities market. CVL also provides eKYC and is registered as AUA/KUA with UIDAI. </w:t>
      </w:r>
    </w:p>
    <w:p w:rsidR="0007659C" w:rsidRPr="0007659C" w:rsidRDefault="0007659C" w:rsidP="00F072E1">
      <w:pPr>
        <w:numPr>
          <w:ilvl w:val="0"/>
          <w:numId w:val="1"/>
        </w:numPr>
        <w:spacing w:after="0" w:line="276" w:lineRule="auto"/>
        <w:jc w:val="both"/>
        <w:rPr>
          <w:rFonts w:ascii="Gill Sans MT" w:hAnsi="Gill Sans MT"/>
          <w:color w:val="000000"/>
          <w:sz w:val="24"/>
          <w:szCs w:val="24"/>
        </w:rPr>
      </w:pPr>
      <w:r w:rsidRPr="0007659C">
        <w:rPr>
          <w:rFonts w:ascii="Gill Sans MT" w:hAnsi="Gill Sans MT"/>
          <w:b/>
          <w:bCs/>
          <w:color w:val="000000"/>
          <w:sz w:val="24"/>
          <w:szCs w:val="24"/>
        </w:rPr>
        <w:t>CDSL Insurance Repository Limited (CDSLIR)</w:t>
      </w:r>
      <w:r w:rsidRPr="0007659C">
        <w:rPr>
          <w:rFonts w:ascii="Gill Sans MT" w:hAnsi="Gill Sans MT"/>
          <w:color w:val="000000"/>
          <w:sz w:val="24"/>
          <w:szCs w:val="24"/>
        </w:rPr>
        <w:t xml:space="preserve"> is a company registered under the Companies Act, 1956. CDSL IR has received registration certificate from Insurance Regulatory and Development Authority of India (IRDAI) to act as an ‘Insurance Repository’ under the Guidelines on Insurance repositories and electronic issuance of insurance policies dated 29th May 2015.</w:t>
      </w:r>
    </w:p>
    <w:p w:rsidR="0007659C" w:rsidRPr="0007659C" w:rsidRDefault="0007659C" w:rsidP="00F072E1">
      <w:pPr>
        <w:numPr>
          <w:ilvl w:val="0"/>
          <w:numId w:val="1"/>
        </w:numPr>
        <w:spacing w:after="200" w:line="276" w:lineRule="auto"/>
        <w:jc w:val="both"/>
        <w:rPr>
          <w:rFonts w:ascii="Gill Sans MT" w:hAnsi="Gill Sans MT"/>
          <w:color w:val="000000"/>
          <w:sz w:val="24"/>
          <w:szCs w:val="24"/>
        </w:rPr>
      </w:pPr>
      <w:r w:rsidRPr="0007659C">
        <w:rPr>
          <w:rFonts w:ascii="Gill Sans MT" w:hAnsi="Gill Sans MT"/>
          <w:b/>
          <w:bCs/>
          <w:color w:val="000000"/>
          <w:sz w:val="24"/>
          <w:szCs w:val="24"/>
        </w:rPr>
        <w:t xml:space="preserve">CDSL Commodity Repository Limited </w:t>
      </w:r>
      <w:r w:rsidRPr="0007659C">
        <w:rPr>
          <w:rFonts w:ascii="Gill Sans MT" w:hAnsi="Gill Sans MT"/>
          <w:color w:val="000000"/>
          <w:sz w:val="24"/>
          <w:szCs w:val="24"/>
        </w:rPr>
        <w:t>allows the Farmer, Farmers Producer Organizations (FPOs), Manufacturers, etc., to obtain electronic warehouse receipts (negotiable or non-negotiable) [</w:t>
      </w:r>
      <w:proofErr w:type="spellStart"/>
      <w:r w:rsidRPr="0007659C">
        <w:rPr>
          <w:rFonts w:ascii="Gill Sans MT" w:hAnsi="Gill Sans MT"/>
          <w:color w:val="000000"/>
          <w:sz w:val="24"/>
          <w:szCs w:val="24"/>
        </w:rPr>
        <w:t>eNWRs</w:t>
      </w:r>
      <w:proofErr w:type="spellEnd"/>
      <w:r w:rsidRPr="0007659C">
        <w:rPr>
          <w:rFonts w:ascii="Gill Sans MT" w:hAnsi="Gill Sans MT"/>
          <w:color w:val="000000"/>
          <w:sz w:val="24"/>
          <w:szCs w:val="24"/>
        </w:rPr>
        <w:t xml:space="preserve"> or </w:t>
      </w:r>
      <w:proofErr w:type="spellStart"/>
      <w:r w:rsidRPr="0007659C">
        <w:rPr>
          <w:rFonts w:ascii="Gill Sans MT" w:hAnsi="Gill Sans MT"/>
          <w:color w:val="000000"/>
          <w:sz w:val="24"/>
          <w:szCs w:val="24"/>
        </w:rPr>
        <w:t>eNNWRs</w:t>
      </w:r>
      <w:proofErr w:type="spellEnd"/>
      <w:r w:rsidRPr="0007659C">
        <w:rPr>
          <w:rFonts w:ascii="Gill Sans MT" w:hAnsi="Gill Sans MT"/>
          <w:color w:val="000000"/>
          <w:sz w:val="24"/>
          <w:szCs w:val="24"/>
        </w:rPr>
        <w:t>] in a demat account against deposit of commodities in any of the warehouses registered with Warehousing Development and Regulatory Authority (WDRA).</w:t>
      </w:r>
    </w:p>
    <w:p w:rsidR="0074217C" w:rsidRPr="0074217C" w:rsidRDefault="0074217C" w:rsidP="0074217C">
      <w:pPr>
        <w:pStyle w:val="ListParagraph"/>
        <w:rPr>
          <w:rFonts w:ascii="Corbel" w:hAnsi="Corbel"/>
          <w:b/>
          <w:bCs/>
          <w:sz w:val="24"/>
          <w:szCs w:val="24"/>
        </w:rPr>
      </w:pPr>
      <w:r w:rsidRPr="0074217C">
        <w:rPr>
          <w:rFonts w:ascii="Corbel" w:hAnsi="Corbel"/>
          <w:b/>
          <w:bCs/>
          <w:sz w:val="24"/>
          <w:szCs w:val="24"/>
        </w:rPr>
        <w:t>Media 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2436"/>
        <w:gridCol w:w="3630"/>
      </w:tblGrid>
      <w:tr w:rsidR="0074217C" w:rsidRPr="00530E84" w:rsidTr="00EB1686">
        <w:tc>
          <w:tcPr>
            <w:tcW w:w="3005" w:type="dxa"/>
          </w:tcPr>
          <w:p w:rsidR="0074217C" w:rsidRPr="00530E84" w:rsidRDefault="0074217C" w:rsidP="00EB1686">
            <w:pPr>
              <w:rPr>
                <w:rFonts w:ascii="Corbel" w:hAnsi="Corbel"/>
                <w:b/>
                <w:bCs/>
                <w:sz w:val="24"/>
                <w:szCs w:val="24"/>
              </w:rPr>
            </w:pPr>
            <w:bookmarkStart w:id="3" w:name="_GoBack"/>
            <w:bookmarkEnd w:id="3"/>
          </w:p>
          <w:p w:rsidR="0074217C" w:rsidRPr="00530E84" w:rsidRDefault="0074217C" w:rsidP="00EB1686">
            <w:pPr>
              <w:rPr>
                <w:rFonts w:ascii="Corbel" w:hAnsi="Corbel"/>
                <w:b/>
                <w:bCs/>
                <w:sz w:val="24"/>
                <w:szCs w:val="24"/>
              </w:rPr>
            </w:pPr>
            <w:r w:rsidRPr="00530E84">
              <w:rPr>
                <w:rFonts w:ascii="Corbel" w:hAnsi="Corbel"/>
                <w:b/>
                <w:bCs/>
                <w:sz w:val="24"/>
                <w:szCs w:val="24"/>
              </w:rPr>
              <w:t>Sandhya Dubey</w:t>
            </w:r>
          </w:p>
          <w:p w:rsidR="0074217C" w:rsidRPr="00530E84" w:rsidRDefault="0074217C" w:rsidP="00EB1686">
            <w:pPr>
              <w:rPr>
                <w:rFonts w:ascii="Corbel" w:hAnsi="Corbel"/>
                <w:sz w:val="24"/>
                <w:szCs w:val="24"/>
              </w:rPr>
            </w:pPr>
            <w:hyperlink r:id="rId7" w:history="1">
              <w:r w:rsidRPr="00530E84">
                <w:rPr>
                  <w:rStyle w:val="Hyperlink"/>
                  <w:rFonts w:ascii="Corbel" w:hAnsi="Corbel"/>
                  <w:sz w:val="24"/>
                  <w:szCs w:val="24"/>
                </w:rPr>
                <w:t>sandhyad@cdslindia.com</w:t>
              </w:r>
            </w:hyperlink>
          </w:p>
          <w:p w:rsidR="0074217C" w:rsidRPr="00530E84" w:rsidRDefault="0074217C" w:rsidP="00EB1686">
            <w:pPr>
              <w:rPr>
                <w:rFonts w:ascii="Corbel" w:hAnsi="Corbel"/>
                <w:sz w:val="24"/>
                <w:szCs w:val="24"/>
              </w:rPr>
            </w:pPr>
            <w:r w:rsidRPr="00530E84">
              <w:rPr>
                <w:rFonts w:ascii="Corbel" w:hAnsi="Corbel"/>
                <w:sz w:val="24"/>
                <w:szCs w:val="24"/>
              </w:rPr>
              <w:t>+91 9820140643</w:t>
            </w:r>
          </w:p>
        </w:tc>
        <w:tc>
          <w:tcPr>
            <w:tcW w:w="3005" w:type="dxa"/>
          </w:tcPr>
          <w:p w:rsidR="0074217C" w:rsidRPr="00530E84" w:rsidRDefault="0074217C" w:rsidP="00EB1686">
            <w:pPr>
              <w:rPr>
                <w:rFonts w:ascii="Corbel" w:hAnsi="Corbel"/>
                <w:b/>
                <w:bCs/>
                <w:sz w:val="24"/>
                <w:szCs w:val="24"/>
              </w:rPr>
            </w:pPr>
          </w:p>
        </w:tc>
        <w:tc>
          <w:tcPr>
            <w:tcW w:w="3006" w:type="dxa"/>
          </w:tcPr>
          <w:p w:rsidR="0074217C" w:rsidRPr="00530E84" w:rsidRDefault="0074217C" w:rsidP="00EB1686">
            <w:pPr>
              <w:rPr>
                <w:rFonts w:ascii="Corbel" w:hAnsi="Corbel"/>
                <w:b/>
                <w:bCs/>
                <w:sz w:val="24"/>
                <w:szCs w:val="24"/>
              </w:rPr>
            </w:pPr>
          </w:p>
          <w:p w:rsidR="0074217C" w:rsidRPr="00530E84" w:rsidRDefault="0074217C" w:rsidP="00EB1686">
            <w:pPr>
              <w:rPr>
                <w:rFonts w:ascii="Corbel" w:hAnsi="Corbel"/>
                <w:b/>
                <w:bCs/>
                <w:sz w:val="24"/>
                <w:szCs w:val="24"/>
              </w:rPr>
            </w:pPr>
            <w:r w:rsidRPr="00530E84">
              <w:rPr>
                <w:rFonts w:ascii="Corbel" w:hAnsi="Corbel"/>
                <w:b/>
                <w:bCs/>
                <w:sz w:val="24"/>
                <w:szCs w:val="24"/>
              </w:rPr>
              <w:t>Banali Banerjee</w:t>
            </w:r>
          </w:p>
          <w:p w:rsidR="0074217C" w:rsidRPr="00530E84" w:rsidRDefault="0074217C" w:rsidP="00EB1686">
            <w:pPr>
              <w:rPr>
                <w:rFonts w:ascii="Corbel" w:hAnsi="Corbel"/>
                <w:sz w:val="24"/>
                <w:szCs w:val="24"/>
              </w:rPr>
            </w:pPr>
            <w:hyperlink r:id="rId8" w:history="1">
              <w:r w:rsidRPr="00530E84">
                <w:rPr>
                  <w:rStyle w:val="Hyperlink"/>
                  <w:rFonts w:ascii="Corbel" w:hAnsi="Corbel"/>
                  <w:sz w:val="24"/>
                  <w:szCs w:val="24"/>
                </w:rPr>
                <w:t>banali.banerjee@adfactorspr.com</w:t>
              </w:r>
            </w:hyperlink>
          </w:p>
          <w:p w:rsidR="0074217C" w:rsidRPr="00530E84" w:rsidRDefault="0074217C" w:rsidP="00EB1686">
            <w:pPr>
              <w:rPr>
                <w:rFonts w:ascii="Corbel" w:hAnsi="Corbel"/>
                <w:sz w:val="24"/>
                <w:szCs w:val="24"/>
              </w:rPr>
            </w:pPr>
            <w:r w:rsidRPr="00530E84">
              <w:rPr>
                <w:rFonts w:ascii="Corbel" w:hAnsi="Corbel"/>
                <w:sz w:val="24"/>
                <w:szCs w:val="24"/>
              </w:rPr>
              <w:t>+91 9769610385</w:t>
            </w:r>
          </w:p>
          <w:p w:rsidR="0074217C" w:rsidRPr="00530E84" w:rsidRDefault="0074217C" w:rsidP="00EB1686">
            <w:pPr>
              <w:rPr>
                <w:rFonts w:ascii="Corbel" w:hAnsi="Corbel"/>
                <w:b/>
                <w:bCs/>
                <w:sz w:val="24"/>
                <w:szCs w:val="24"/>
              </w:rPr>
            </w:pPr>
          </w:p>
        </w:tc>
      </w:tr>
      <w:tr w:rsidR="0074217C" w:rsidRPr="00530E84" w:rsidTr="00EB1686">
        <w:tc>
          <w:tcPr>
            <w:tcW w:w="3005" w:type="dxa"/>
          </w:tcPr>
          <w:p w:rsidR="0074217C" w:rsidRPr="00530E84" w:rsidRDefault="0074217C" w:rsidP="00EB1686">
            <w:pPr>
              <w:rPr>
                <w:rFonts w:ascii="Corbel" w:hAnsi="Corbel"/>
                <w:b/>
                <w:bCs/>
                <w:sz w:val="24"/>
                <w:szCs w:val="24"/>
              </w:rPr>
            </w:pPr>
          </w:p>
        </w:tc>
        <w:tc>
          <w:tcPr>
            <w:tcW w:w="3005" w:type="dxa"/>
          </w:tcPr>
          <w:p w:rsidR="0074217C" w:rsidRPr="00530E84" w:rsidRDefault="0074217C" w:rsidP="00EB1686">
            <w:pPr>
              <w:rPr>
                <w:rFonts w:ascii="Corbel" w:hAnsi="Corbel"/>
                <w:b/>
                <w:bCs/>
                <w:sz w:val="24"/>
                <w:szCs w:val="24"/>
              </w:rPr>
            </w:pPr>
          </w:p>
        </w:tc>
        <w:tc>
          <w:tcPr>
            <w:tcW w:w="3006" w:type="dxa"/>
          </w:tcPr>
          <w:p w:rsidR="0074217C" w:rsidRPr="00530E84" w:rsidRDefault="0074217C" w:rsidP="00EB1686">
            <w:pPr>
              <w:rPr>
                <w:rFonts w:ascii="Corbel" w:hAnsi="Corbel"/>
                <w:b/>
                <w:bCs/>
                <w:sz w:val="24"/>
                <w:szCs w:val="24"/>
              </w:rPr>
            </w:pPr>
          </w:p>
        </w:tc>
      </w:tr>
      <w:tr w:rsidR="0074217C" w:rsidRPr="00530E84" w:rsidTr="00EB1686">
        <w:tc>
          <w:tcPr>
            <w:tcW w:w="3005" w:type="dxa"/>
          </w:tcPr>
          <w:p w:rsidR="0074217C" w:rsidRPr="00530E84" w:rsidRDefault="0074217C" w:rsidP="00EB1686">
            <w:pPr>
              <w:rPr>
                <w:rFonts w:ascii="Corbel" w:hAnsi="Corbel"/>
                <w:b/>
                <w:bCs/>
                <w:sz w:val="24"/>
                <w:szCs w:val="24"/>
              </w:rPr>
            </w:pPr>
          </w:p>
        </w:tc>
        <w:tc>
          <w:tcPr>
            <w:tcW w:w="3005" w:type="dxa"/>
          </w:tcPr>
          <w:p w:rsidR="0074217C" w:rsidRPr="00530E84" w:rsidRDefault="0074217C" w:rsidP="00EB1686">
            <w:pPr>
              <w:rPr>
                <w:rFonts w:ascii="Corbel" w:hAnsi="Corbel"/>
                <w:b/>
                <w:bCs/>
                <w:sz w:val="24"/>
                <w:szCs w:val="24"/>
              </w:rPr>
            </w:pPr>
          </w:p>
        </w:tc>
        <w:tc>
          <w:tcPr>
            <w:tcW w:w="3006" w:type="dxa"/>
          </w:tcPr>
          <w:p w:rsidR="0074217C" w:rsidRPr="00530E84" w:rsidRDefault="0074217C" w:rsidP="00EB1686">
            <w:pPr>
              <w:rPr>
                <w:rFonts w:ascii="Corbel" w:hAnsi="Corbel"/>
                <w:b/>
                <w:bCs/>
                <w:sz w:val="24"/>
                <w:szCs w:val="24"/>
              </w:rPr>
            </w:pPr>
            <w:r w:rsidRPr="00530E84">
              <w:rPr>
                <w:rFonts w:ascii="Corbel" w:hAnsi="Corbel"/>
                <w:b/>
                <w:bCs/>
                <w:sz w:val="24"/>
                <w:szCs w:val="24"/>
              </w:rPr>
              <w:t xml:space="preserve">Gitanjali </w:t>
            </w:r>
            <w:proofErr w:type="spellStart"/>
            <w:r w:rsidRPr="00530E84">
              <w:rPr>
                <w:rFonts w:ascii="Corbel" w:hAnsi="Corbel"/>
                <w:b/>
                <w:bCs/>
                <w:sz w:val="24"/>
                <w:szCs w:val="24"/>
              </w:rPr>
              <w:t>Sirwal</w:t>
            </w:r>
            <w:proofErr w:type="spellEnd"/>
          </w:p>
          <w:p w:rsidR="0074217C" w:rsidRPr="00530E84" w:rsidRDefault="0074217C" w:rsidP="00EB1686">
            <w:pPr>
              <w:rPr>
                <w:rStyle w:val="Hyperlink"/>
                <w:rFonts w:ascii="Corbel" w:hAnsi="Corbel"/>
              </w:rPr>
            </w:pPr>
            <w:hyperlink r:id="rId9" w:history="1">
              <w:r w:rsidRPr="00530E84">
                <w:rPr>
                  <w:rStyle w:val="Hyperlink"/>
                  <w:rFonts w:ascii="Corbel" w:hAnsi="Corbel"/>
                  <w:sz w:val="24"/>
                  <w:szCs w:val="24"/>
                </w:rPr>
                <w:t>gitanjali.sirwal@adfactorspr.com</w:t>
              </w:r>
            </w:hyperlink>
          </w:p>
          <w:p w:rsidR="0074217C" w:rsidRPr="00530E84" w:rsidRDefault="0074217C" w:rsidP="00EB1686">
            <w:pPr>
              <w:rPr>
                <w:rFonts w:ascii="Corbel" w:hAnsi="Corbel"/>
                <w:sz w:val="24"/>
                <w:szCs w:val="24"/>
              </w:rPr>
            </w:pPr>
            <w:r w:rsidRPr="00530E84">
              <w:rPr>
                <w:rFonts w:ascii="Corbel" w:hAnsi="Corbel"/>
                <w:sz w:val="24"/>
                <w:szCs w:val="24"/>
              </w:rPr>
              <w:t>+91 9930514427</w:t>
            </w:r>
          </w:p>
        </w:tc>
      </w:tr>
    </w:tbl>
    <w:p w:rsidR="0074217C" w:rsidRPr="0074217C" w:rsidRDefault="0074217C" w:rsidP="0074217C">
      <w:pPr>
        <w:pStyle w:val="ListParagraph"/>
        <w:jc w:val="both"/>
        <w:rPr>
          <w:rFonts w:ascii="Corbel" w:eastAsia="Times New Roman" w:hAnsi="Corbel" w:cs="Times New Roman"/>
          <w:bCs/>
          <w:sz w:val="24"/>
          <w:szCs w:val="24"/>
          <w:bdr w:val="none" w:sz="0" w:space="0" w:color="auto" w:frame="1"/>
        </w:rPr>
      </w:pPr>
    </w:p>
    <w:p w:rsidR="0007659C" w:rsidRPr="0007659C" w:rsidRDefault="0007659C" w:rsidP="00F072E1">
      <w:pPr>
        <w:spacing w:line="276" w:lineRule="auto"/>
        <w:jc w:val="both"/>
        <w:rPr>
          <w:rFonts w:ascii="Gill Sans MT" w:hAnsi="Gill Sans MT" w:cs="Times New Roman"/>
          <w:b/>
          <w:sz w:val="24"/>
          <w:szCs w:val="24"/>
        </w:rPr>
      </w:pPr>
    </w:p>
    <w:sectPr w:rsidR="0007659C" w:rsidRPr="0007659C" w:rsidSect="0087465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C48ED"/>
    <w:multiLevelType w:val="multilevel"/>
    <w:tmpl w:val="BD10B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18"/>
    <w:rsid w:val="0002058F"/>
    <w:rsid w:val="00051A7E"/>
    <w:rsid w:val="0006209B"/>
    <w:rsid w:val="00065984"/>
    <w:rsid w:val="0007659C"/>
    <w:rsid w:val="000C439F"/>
    <w:rsid w:val="000D7C5A"/>
    <w:rsid w:val="00106833"/>
    <w:rsid w:val="001E6601"/>
    <w:rsid w:val="001E711A"/>
    <w:rsid w:val="00210DBF"/>
    <w:rsid w:val="00224128"/>
    <w:rsid w:val="002307F5"/>
    <w:rsid w:val="002478F9"/>
    <w:rsid w:val="002500D5"/>
    <w:rsid w:val="00250B95"/>
    <w:rsid w:val="002E2696"/>
    <w:rsid w:val="002F7593"/>
    <w:rsid w:val="003324A9"/>
    <w:rsid w:val="003346AC"/>
    <w:rsid w:val="00375073"/>
    <w:rsid w:val="0038174E"/>
    <w:rsid w:val="003831F3"/>
    <w:rsid w:val="003922E8"/>
    <w:rsid w:val="00431774"/>
    <w:rsid w:val="00460622"/>
    <w:rsid w:val="00480251"/>
    <w:rsid w:val="00486B6D"/>
    <w:rsid w:val="004E4DA0"/>
    <w:rsid w:val="005325DC"/>
    <w:rsid w:val="00560C5B"/>
    <w:rsid w:val="0058148D"/>
    <w:rsid w:val="0058536B"/>
    <w:rsid w:val="005E0EED"/>
    <w:rsid w:val="005E476B"/>
    <w:rsid w:val="0063483C"/>
    <w:rsid w:val="00640530"/>
    <w:rsid w:val="0065535B"/>
    <w:rsid w:val="006B375A"/>
    <w:rsid w:val="006C7C6B"/>
    <w:rsid w:val="006E2051"/>
    <w:rsid w:val="0074217C"/>
    <w:rsid w:val="00764D75"/>
    <w:rsid w:val="0078178C"/>
    <w:rsid w:val="00793C8D"/>
    <w:rsid w:val="007F0A91"/>
    <w:rsid w:val="008365A4"/>
    <w:rsid w:val="00874650"/>
    <w:rsid w:val="008B438D"/>
    <w:rsid w:val="008B6D98"/>
    <w:rsid w:val="008C254F"/>
    <w:rsid w:val="009225DC"/>
    <w:rsid w:val="00957471"/>
    <w:rsid w:val="00965307"/>
    <w:rsid w:val="00965531"/>
    <w:rsid w:val="0096614C"/>
    <w:rsid w:val="0099560F"/>
    <w:rsid w:val="00A211DB"/>
    <w:rsid w:val="00A23EB6"/>
    <w:rsid w:val="00A40D0D"/>
    <w:rsid w:val="00AB0896"/>
    <w:rsid w:val="00AB53C4"/>
    <w:rsid w:val="00B23C05"/>
    <w:rsid w:val="00B523EE"/>
    <w:rsid w:val="00B53699"/>
    <w:rsid w:val="00BA3218"/>
    <w:rsid w:val="00BA7126"/>
    <w:rsid w:val="00BE55B0"/>
    <w:rsid w:val="00BF6EE3"/>
    <w:rsid w:val="00C06297"/>
    <w:rsid w:val="00C129F8"/>
    <w:rsid w:val="00C25AA7"/>
    <w:rsid w:val="00C84560"/>
    <w:rsid w:val="00CA2818"/>
    <w:rsid w:val="00CD0C3D"/>
    <w:rsid w:val="00CD1E55"/>
    <w:rsid w:val="00CE0971"/>
    <w:rsid w:val="00CF2483"/>
    <w:rsid w:val="00D0301C"/>
    <w:rsid w:val="00D522A8"/>
    <w:rsid w:val="00D570B1"/>
    <w:rsid w:val="00E31919"/>
    <w:rsid w:val="00E67ED5"/>
    <w:rsid w:val="00EE3EA3"/>
    <w:rsid w:val="00EF3969"/>
    <w:rsid w:val="00F072E1"/>
    <w:rsid w:val="00F13097"/>
    <w:rsid w:val="00F20B35"/>
    <w:rsid w:val="00F42B8B"/>
    <w:rsid w:val="00F57A6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6DCC"/>
  <w15:docId w15:val="{E82A6436-F488-45DB-AA32-F5FF80CC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59C"/>
    <w:pPr>
      <w:spacing w:after="200" w:line="276" w:lineRule="auto"/>
      <w:ind w:left="720"/>
      <w:contextualSpacing/>
    </w:pPr>
    <w:rPr>
      <w:rFonts w:ascii="Calibri" w:eastAsia="MS PGothic" w:hAnsi="Calibri" w:cs="MS PGothic"/>
      <w:lang w:val="en-US" w:eastAsia="en-IN"/>
    </w:rPr>
  </w:style>
  <w:style w:type="paragraph" w:styleId="BalloonText">
    <w:name w:val="Balloon Text"/>
    <w:basedOn w:val="Normal"/>
    <w:link w:val="BalloonTextChar"/>
    <w:uiPriority w:val="99"/>
    <w:semiHidden/>
    <w:unhideWhenUsed/>
    <w:rsid w:val="00874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50"/>
    <w:rPr>
      <w:rFonts w:ascii="Tahoma" w:hAnsi="Tahoma" w:cs="Tahoma"/>
      <w:sz w:val="16"/>
      <w:szCs w:val="16"/>
    </w:rPr>
  </w:style>
  <w:style w:type="character" w:styleId="Hyperlink">
    <w:name w:val="Hyperlink"/>
    <w:basedOn w:val="DefaultParagraphFont"/>
    <w:uiPriority w:val="99"/>
    <w:unhideWhenUsed/>
    <w:rsid w:val="0074217C"/>
    <w:rPr>
      <w:color w:val="0000FF"/>
      <w:u w:val="single"/>
    </w:rPr>
  </w:style>
  <w:style w:type="table" w:styleId="TableGrid">
    <w:name w:val="Table Grid"/>
    <w:basedOn w:val="TableNormal"/>
    <w:uiPriority w:val="39"/>
    <w:rsid w:val="00742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32181">
      <w:bodyDiv w:val="1"/>
      <w:marLeft w:val="0"/>
      <w:marRight w:val="0"/>
      <w:marTop w:val="0"/>
      <w:marBottom w:val="0"/>
      <w:divBdr>
        <w:top w:val="none" w:sz="0" w:space="0" w:color="auto"/>
        <w:left w:val="none" w:sz="0" w:space="0" w:color="auto"/>
        <w:bottom w:val="none" w:sz="0" w:space="0" w:color="auto"/>
        <w:right w:val="none" w:sz="0" w:space="0" w:color="auto"/>
      </w:divBdr>
    </w:div>
    <w:div w:id="197108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ali.banerjee@adfactorspr.com" TargetMode="External"/><Relationship Id="rId3" Type="http://schemas.openxmlformats.org/officeDocument/2006/relationships/settings" Target="settings.xml"/><Relationship Id="rId7" Type="http://schemas.openxmlformats.org/officeDocument/2006/relationships/hyperlink" Target="mailto:sandhyad@cdslin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B9A5.B21B3E9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tanjali.sirwal@adfactors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Central Depository Services India LTD</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Sandhya Dubey /MDCEO/L PAREL</dc:creator>
  <cp:lastModifiedBy>rootadmin</cp:lastModifiedBy>
  <cp:revision>2</cp:revision>
  <dcterms:created xsi:type="dcterms:W3CDTF">2020-09-02T11:21:00Z</dcterms:created>
  <dcterms:modified xsi:type="dcterms:W3CDTF">2020-09-02T11:21:00Z</dcterms:modified>
</cp:coreProperties>
</file>